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F76AF" w14:textId="515CD9B6" w:rsidR="00BC0338" w:rsidRDefault="2EE0D2F3" w:rsidP="0676D472">
      <w:pPr>
        <w:spacing w:after="0"/>
        <w:jc w:val="center"/>
        <w:rPr>
          <w:rFonts w:ascii="Aptos" w:eastAsia="Aptos" w:hAnsi="Aptos" w:cs="Aptos"/>
          <w:color w:val="000000" w:themeColor="text1"/>
        </w:rPr>
      </w:pPr>
      <w:r w:rsidRPr="0676D472">
        <w:rPr>
          <w:rFonts w:ascii="Aptos" w:eastAsia="Aptos" w:hAnsi="Aptos" w:cs="Aptos"/>
          <w:color w:val="000000" w:themeColor="text1"/>
          <w:sz w:val="34"/>
          <w:szCs w:val="34"/>
          <w:u w:val="single"/>
        </w:rPr>
        <w:t>Late Payment and Retentions Consultation Response Guide</w:t>
      </w:r>
      <w:r w:rsidRPr="0676D472">
        <w:rPr>
          <w:rFonts w:ascii="Aptos" w:eastAsia="Aptos" w:hAnsi="Aptos" w:cs="Aptos"/>
          <w:color w:val="000000" w:themeColor="text1"/>
        </w:rPr>
        <w:t xml:space="preserve"> </w:t>
      </w:r>
    </w:p>
    <w:p w14:paraId="0509483C" w14:textId="3E18411B" w:rsidR="00BC0338" w:rsidRDefault="00BC0338" w:rsidP="0676D472">
      <w:pPr>
        <w:spacing w:after="0"/>
        <w:rPr>
          <w:rFonts w:ascii="Aptos" w:eastAsia="Aptos" w:hAnsi="Aptos" w:cs="Aptos"/>
          <w:color w:val="000000" w:themeColor="text1"/>
          <w:sz w:val="22"/>
          <w:szCs w:val="22"/>
        </w:rPr>
      </w:pPr>
    </w:p>
    <w:p w14:paraId="6D1ECADC" w14:textId="126B0F28" w:rsidR="00BC0338" w:rsidRDefault="2EE0D2F3" w:rsidP="0676D472">
      <w:pPr>
        <w:spacing w:after="0"/>
        <w:rPr>
          <w:rFonts w:ascii="Aptos" w:eastAsia="Aptos" w:hAnsi="Aptos" w:cs="Aptos"/>
          <w:color w:val="000000" w:themeColor="text1"/>
        </w:rPr>
      </w:pPr>
      <w:r w:rsidRPr="0676D472">
        <w:rPr>
          <w:rFonts w:ascii="Aptos" w:eastAsia="Aptos" w:hAnsi="Aptos" w:cs="Aptos"/>
          <w:color w:val="000000" w:themeColor="text1"/>
          <w:u w:val="single"/>
        </w:rPr>
        <w:t>Context:</w:t>
      </w:r>
    </w:p>
    <w:p w14:paraId="4678558C" w14:textId="1E21288E" w:rsidR="00BC0338" w:rsidRDefault="2EE0D2F3" w:rsidP="0676D472">
      <w:pPr>
        <w:spacing w:before="240" w:after="240"/>
        <w:rPr>
          <w:rFonts w:ascii="Aptos" w:eastAsia="Aptos" w:hAnsi="Aptos" w:cs="Aptos"/>
          <w:color w:val="000000" w:themeColor="text1"/>
        </w:rPr>
      </w:pPr>
      <w:r w:rsidRPr="0676D472">
        <w:rPr>
          <w:rFonts w:ascii="Aptos" w:eastAsia="Aptos" w:hAnsi="Aptos" w:cs="Aptos"/>
          <w:color w:val="000000" w:themeColor="text1"/>
        </w:rPr>
        <w:t xml:space="preserve">This document is </w:t>
      </w:r>
      <w:r w:rsidR="13F63B5A" w:rsidRPr="0676D472">
        <w:rPr>
          <w:rFonts w:ascii="Aptos" w:eastAsia="Aptos" w:hAnsi="Aptos" w:cs="Aptos"/>
          <w:color w:val="000000" w:themeColor="text1"/>
        </w:rPr>
        <w:t>design</w:t>
      </w:r>
      <w:r w:rsidRPr="0676D472">
        <w:rPr>
          <w:rFonts w:ascii="Aptos" w:eastAsia="Aptos" w:hAnsi="Aptos" w:cs="Aptos"/>
          <w:color w:val="000000" w:themeColor="text1"/>
        </w:rPr>
        <w:t xml:space="preserve">ed to help NFRC Members respond to the </w:t>
      </w:r>
      <w:hyperlink r:id="rId8">
        <w:r w:rsidRPr="0676D472">
          <w:rPr>
            <w:rStyle w:val="Hyperlink"/>
            <w:rFonts w:ascii="Aptos" w:eastAsia="Aptos" w:hAnsi="Aptos" w:cs="Aptos"/>
          </w:rPr>
          <w:t>government’s consultation on late payments and retentions</w:t>
        </w:r>
      </w:hyperlink>
      <w:r w:rsidRPr="0676D472">
        <w:rPr>
          <w:rFonts w:ascii="Aptos" w:eastAsia="Aptos" w:hAnsi="Aptos" w:cs="Aptos"/>
          <w:color w:val="000000" w:themeColor="text1"/>
        </w:rPr>
        <w:t xml:space="preserve">. To complete the consultation survey, </w:t>
      </w:r>
      <w:hyperlink r:id="rId9">
        <w:r w:rsidRPr="0676D472">
          <w:rPr>
            <w:rStyle w:val="Hyperlink"/>
            <w:rFonts w:ascii="Aptos" w:eastAsia="Aptos" w:hAnsi="Aptos" w:cs="Aptos"/>
          </w:rPr>
          <w:t>follow this link</w:t>
        </w:r>
      </w:hyperlink>
      <w:r w:rsidRPr="0676D472">
        <w:rPr>
          <w:rFonts w:ascii="Aptos" w:eastAsia="Aptos" w:hAnsi="Aptos" w:cs="Aptos"/>
          <w:color w:val="000000" w:themeColor="text1"/>
        </w:rPr>
        <w:t xml:space="preserve"> and fill in the required fields. You may copy the suggested responses </w:t>
      </w:r>
      <w:r w:rsidR="42022302" w:rsidRPr="0676D472">
        <w:rPr>
          <w:rFonts w:ascii="Aptos" w:eastAsia="Aptos" w:hAnsi="Aptos" w:cs="Aptos"/>
          <w:color w:val="000000" w:themeColor="text1"/>
        </w:rPr>
        <w:t xml:space="preserve">from </w:t>
      </w:r>
      <w:r w:rsidRPr="0676D472">
        <w:rPr>
          <w:rFonts w:ascii="Aptos" w:eastAsia="Aptos" w:hAnsi="Aptos" w:cs="Aptos"/>
          <w:color w:val="000000" w:themeColor="text1"/>
        </w:rPr>
        <w:t>below into the relevant question</w:t>
      </w:r>
      <w:r w:rsidR="51814769" w:rsidRPr="0676D472">
        <w:rPr>
          <w:rFonts w:ascii="Aptos" w:eastAsia="Aptos" w:hAnsi="Aptos" w:cs="Aptos"/>
          <w:color w:val="000000" w:themeColor="text1"/>
        </w:rPr>
        <w:t xml:space="preserve"> fields</w:t>
      </w:r>
      <w:r w:rsidRPr="0676D472">
        <w:rPr>
          <w:rFonts w:ascii="Aptos" w:eastAsia="Aptos" w:hAnsi="Aptos" w:cs="Aptos"/>
          <w:color w:val="000000" w:themeColor="text1"/>
        </w:rPr>
        <w:t>, but we encourage you to add your own insights wherever possible</w:t>
      </w:r>
      <w:r w:rsidR="78BE54CF" w:rsidRPr="0676D472">
        <w:rPr>
          <w:rFonts w:ascii="Aptos" w:eastAsia="Aptos" w:hAnsi="Aptos" w:cs="Aptos"/>
          <w:color w:val="000000" w:themeColor="text1"/>
        </w:rPr>
        <w:t xml:space="preserve"> and share stories of your own experiences</w:t>
      </w:r>
      <w:r w:rsidRPr="0676D472">
        <w:rPr>
          <w:rFonts w:ascii="Aptos" w:eastAsia="Aptos" w:hAnsi="Aptos" w:cs="Aptos"/>
          <w:color w:val="000000" w:themeColor="text1"/>
        </w:rPr>
        <w:t>.</w:t>
      </w:r>
    </w:p>
    <w:p w14:paraId="3E57F776" w14:textId="28CAF6A3" w:rsidR="0087551E" w:rsidRPr="0087551E" w:rsidRDefault="0087551E" w:rsidP="0087551E">
      <w:pPr>
        <w:spacing w:before="240" w:after="240"/>
        <w:rPr>
          <w:rFonts w:ascii="Aptos" w:eastAsia="Aptos" w:hAnsi="Aptos" w:cs="Aptos"/>
          <w:color w:val="000000" w:themeColor="text1"/>
        </w:rPr>
      </w:pPr>
      <w:r w:rsidRPr="0087551E">
        <w:rPr>
          <w:rFonts w:ascii="Aptos" w:eastAsia="Aptos" w:hAnsi="Aptos" w:cs="Aptos"/>
          <w:color w:val="000000" w:themeColor="text1"/>
        </w:rPr>
        <w:t xml:space="preserve">This response emphasises support for protecting retention monies and provides responses to all questions asked in the consultation, including those on late payment. </w:t>
      </w:r>
    </w:p>
    <w:p w14:paraId="28D5DFB5" w14:textId="540A4376" w:rsidR="0087551E" w:rsidRPr="0087551E" w:rsidRDefault="0087551E" w:rsidP="0087551E">
      <w:pPr>
        <w:spacing w:before="240" w:after="240"/>
        <w:rPr>
          <w:rFonts w:ascii="Aptos" w:eastAsia="Aptos" w:hAnsi="Aptos" w:cs="Aptos"/>
          <w:color w:val="000000" w:themeColor="text1"/>
        </w:rPr>
      </w:pPr>
      <w:r w:rsidRPr="0087551E">
        <w:rPr>
          <w:rFonts w:ascii="Aptos" w:eastAsia="Aptos" w:hAnsi="Aptos" w:cs="Aptos"/>
          <w:color w:val="000000" w:themeColor="text1"/>
        </w:rPr>
        <w:t xml:space="preserve">If you wish to only answer questions on retentions, skip to question 17. </w:t>
      </w:r>
    </w:p>
    <w:p w14:paraId="16E45236" w14:textId="2FF3E2AB" w:rsidR="00BC0338" w:rsidRDefault="0087551E" w:rsidP="0087551E">
      <w:pPr>
        <w:spacing w:before="240" w:after="240"/>
        <w:rPr>
          <w:rFonts w:ascii="Aptos" w:eastAsia="Aptos" w:hAnsi="Aptos" w:cs="Aptos"/>
          <w:color w:val="000000" w:themeColor="text1"/>
        </w:rPr>
      </w:pPr>
      <w:r w:rsidRPr="0087551E">
        <w:rPr>
          <w:rFonts w:ascii="Aptos" w:eastAsia="Aptos" w:hAnsi="Aptos" w:cs="Aptos"/>
          <w:color w:val="000000" w:themeColor="text1"/>
        </w:rPr>
        <w:t xml:space="preserve">Thank you for contributing. Broad participation is essential if we are to secure meaningful reform of payment practices in construction. Please share this guide with other businesses that would benefit from improved payment practices. </w:t>
      </w:r>
      <w:r w:rsidR="2EE0D2F3" w:rsidRPr="0676D472">
        <w:rPr>
          <w:rFonts w:ascii="Aptos" w:eastAsia="Aptos" w:hAnsi="Aptos" w:cs="Aptos"/>
          <w:color w:val="000000" w:themeColor="text1"/>
        </w:rPr>
        <w:t xml:space="preserve">If you have any questions or would like assistance with completing your response, please contact </w:t>
      </w:r>
      <w:hyperlink r:id="rId10">
        <w:r w:rsidR="2EE0D2F3" w:rsidRPr="0676D472">
          <w:rPr>
            <w:rStyle w:val="Hyperlink"/>
            <w:rFonts w:ascii="Aptos" w:eastAsia="Aptos" w:hAnsi="Aptos" w:cs="Aptos"/>
          </w:rPr>
          <w:t>policy@nfrc.co.uk</w:t>
        </w:r>
      </w:hyperlink>
      <w:r w:rsidR="2EE0D2F3" w:rsidRPr="0676D472">
        <w:rPr>
          <w:rFonts w:ascii="Aptos" w:eastAsia="Aptos" w:hAnsi="Aptos" w:cs="Aptos"/>
          <w:color w:val="000000" w:themeColor="text1"/>
        </w:rPr>
        <w:t xml:space="preserve"> </w:t>
      </w:r>
    </w:p>
    <w:p w14:paraId="095937B4" w14:textId="74B7B3AE" w:rsidR="00BC0338" w:rsidRDefault="4F731759" w:rsidP="0676D472">
      <w:pPr>
        <w:spacing w:after="0"/>
        <w:rPr>
          <w:rFonts w:ascii="Aptos" w:eastAsia="Aptos" w:hAnsi="Aptos" w:cs="Aptos"/>
        </w:rPr>
      </w:pPr>
      <w:r w:rsidRPr="0676D472">
        <w:rPr>
          <w:rFonts w:ascii="Aptos" w:eastAsia="Aptos" w:hAnsi="Aptos" w:cs="Aptos"/>
          <w:color w:val="000000" w:themeColor="text1"/>
        </w:rPr>
        <w:t xml:space="preserve">If you wish, you can </w:t>
      </w:r>
      <w:hyperlink r:id="rId11">
        <w:r w:rsidRPr="0676D472">
          <w:rPr>
            <w:rStyle w:val="Hyperlink"/>
            <w:rFonts w:ascii="Aptos" w:eastAsia="Aptos" w:hAnsi="Aptos" w:cs="Aptos"/>
          </w:rPr>
          <w:t>r</w:t>
        </w:r>
        <w:r w:rsidR="2EE0D2F3" w:rsidRPr="0676D472">
          <w:rPr>
            <w:rStyle w:val="Hyperlink"/>
            <w:rFonts w:ascii="Aptos" w:eastAsia="Aptos" w:hAnsi="Aptos" w:cs="Aptos"/>
          </w:rPr>
          <w:t xml:space="preserve">ead the </w:t>
        </w:r>
        <w:r w:rsidR="20C6447C" w:rsidRPr="0676D472">
          <w:rPr>
            <w:rStyle w:val="Hyperlink"/>
            <w:rFonts w:ascii="Aptos" w:eastAsia="Aptos" w:hAnsi="Aptos" w:cs="Aptos"/>
          </w:rPr>
          <w:t xml:space="preserve">government’s </w:t>
        </w:r>
        <w:r w:rsidR="2EE0D2F3" w:rsidRPr="0676D472">
          <w:rPr>
            <w:rStyle w:val="Hyperlink"/>
            <w:rFonts w:ascii="Aptos" w:eastAsia="Aptos" w:hAnsi="Aptos" w:cs="Aptos"/>
          </w:rPr>
          <w:t>full consultation here</w:t>
        </w:r>
      </w:hyperlink>
      <w:r w:rsidR="015C01FC" w:rsidRPr="0676D472">
        <w:rPr>
          <w:rFonts w:ascii="Aptos" w:eastAsia="Aptos" w:hAnsi="Aptos" w:cs="Aptos"/>
          <w:color w:val="000000" w:themeColor="text1"/>
        </w:rPr>
        <w:t>.</w:t>
      </w:r>
    </w:p>
    <w:p w14:paraId="1259FAFB" w14:textId="3FD87CF0" w:rsidR="00BC0338" w:rsidRDefault="2EE0D2F3" w:rsidP="0676D472">
      <w:pPr>
        <w:spacing w:after="0"/>
        <w:rPr>
          <w:rFonts w:ascii="Aptos" w:eastAsia="Aptos" w:hAnsi="Aptos" w:cs="Aptos"/>
        </w:rPr>
      </w:pPr>
      <w:r w:rsidRPr="0676D472">
        <w:rPr>
          <w:rFonts w:ascii="Aptos" w:eastAsia="Aptos" w:hAnsi="Aptos" w:cs="Aptos"/>
          <w:color w:val="000000" w:themeColor="text1"/>
        </w:rPr>
        <w:t xml:space="preserve"> </w:t>
      </w:r>
    </w:p>
    <w:p w14:paraId="2D5F7DCF" w14:textId="77777777" w:rsidR="00CA7BE8" w:rsidRPr="00CA7BE8" w:rsidRDefault="00CA7BE8" w:rsidP="00CA7BE8">
      <w:pPr>
        <w:spacing w:after="0"/>
        <w:rPr>
          <w:rFonts w:ascii="Aptos" w:eastAsia="Aptos" w:hAnsi="Aptos" w:cs="Aptos"/>
          <w:color w:val="000000" w:themeColor="text1"/>
        </w:rPr>
      </w:pPr>
      <w:r w:rsidRPr="00CA7BE8">
        <w:rPr>
          <w:rFonts w:ascii="Aptos" w:eastAsia="Aptos" w:hAnsi="Aptos" w:cs="Aptos"/>
          <w:b/>
          <w:bCs/>
          <w:color w:val="EE0000"/>
        </w:rPr>
        <w:t>Respond here:</w:t>
      </w:r>
      <w:r w:rsidRPr="00CA7BE8">
        <w:rPr>
          <w:rFonts w:ascii="Aptos" w:eastAsia="Aptos" w:hAnsi="Aptos" w:cs="Aptos"/>
          <w:color w:val="EE0000"/>
        </w:rPr>
        <w:t xml:space="preserve"> </w:t>
      </w:r>
      <w:r w:rsidRPr="00CA7BE8">
        <w:rPr>
          <w:rFonts w:ascii="Aptos" w:eastAsia="Aptos" w:hAnsi="Aptos" w:cs="Aptos"/>
          <w:color w:val="000000" w:themeColor="text1"/>
        </w:rPr>
        <w:t xml:space="preserve">https://ditresearch.eu.qualtrics.com/jfe/form/SV_0v37vzvBpfM5Exw </w:t>
      </w:r>
    </w:p>
    <w:p w14:paraId="436A4A10" w14:textId="77777777" w:rsidR="00CA7BE8" w:rsidRPr="00CA7BE8" w:rsidRDefault="00CA7BE8" w:rsidP="00CA7BE8">
      <w:pPr>
        <w:spacing w:after="0"/>
        <w:rPr>
          <w:rFonts w:ascii="Aptos" w:eastAsia="Aptos" w:hAnsi="Aptos" w:cs="Aptos"/>
          <w:color w:val="000000" w:themeColor="text1"/>
        </w:rPr>
      </w:pPr>
    </w:p>
    <w:p w14:paraId="709A4934" w14:textId="5FA815D0" w:rsidR="0087551E" w:rsidRDefault="00CA7BE8" w:rsidP="00CA7BE8">
      <w:pPr>
        <w:spacing w:after="0"/>
        <w:rPr>
          <w:rFonts w:ascii="Aptos" w:eastAsia="Aptos" w:hAnsi="Aptos" w:cs="Aptos"/>
          <w:color w:val="000000" w:themeColor="text1"/>
        </w:rPr>
      </w:pPr>
      <w:r w:rsidRPr="00CA7BE8">
        <w:rPr>
          <w:rFonts w:ascii="Aptos" w:eastAsia="Aptos" w:hAnsi="Aptos" w:cs="Aptos"/>
          <w:color w:val="000000" w:themeColor="text1"/>
        </w:rPr>
        <w:t>The consultation closes on 23 October 2025 so make sure you respond before then.</w:t>
      </w:r>
    </w:p>
    <w:p w14:paraId="60D2E945" w14:textId="77777777" w:rsidR="00CA7BE8" w:rsidRDefault="00CA7BE8" w:rsidP="00CA7BE8">
      <w:pPr>
        <w:spacing w:after="0"/>
        <w:rPr>
          <w:rFonts w:ascii="Aptos" w:eastAsia="Aptos" w:hAnsi="Aptos" w:cs="Aptos"/>
          <w:color w:val="000000" w:themeColor="text1"/>
        </w:rPr>
      </w:pPr>
    </w:p>
    <w:p w14:paraId="659D25BF" w14:textId="284816AA" w:rsidR="00BC0338" w:rsidRDefault="2EE0D2F3" w:rsidP="0676D472">
      <w:pPr>
        <w:spacing w:after="0"/>
        <w:rPr>
          <w:rFonts w:ascii="Aptos" w:eastAsia="Aptos" w:hAnsi="Aptos" w:cs="Aptos"/>
          <w:color w:val="000000" w:themeColor="text1"/>
        </w:rPr>
      </w:pPr>
      <w:r w:rsidRPr="0676D472">
        <w:rPr>
          <w:rFonts w:ascii="Aptos" w:eastAsia="Aptos" w:hAnsi="Aptos" w:cs="Aptos"/>
          <w:color w:val="000000" w:themeColor="text1"/>
        </w:rPr>
        <w:t xml:space="preserve">Or email your response to: </w:t>
      </w:r>
      <w:hyperlink r:id="rId12">
        <w:r w:rsidRPr="0676D472">
          <w:rPr>
            <w:rStyle w:val="Hyperlink"/>
            <w:rFonts w:ascii="Aptos" w:eastAsia="Aptos" w:hAnsi="Aptos" w:cs="Aptos"/>
          </w:rPr>
          <w:t>promptpayment@businessandtrade.gov.uk</w:t>
        </w:r>
      </w:hyperlink>
    </w:p>
    <w:p w14:paraId="1643935E" w14:textId="694B9415" w:rsidR="00BC0338" w:rsidRDefault="00BC0338" w:rsidP="0676D472">
      <w:pPr>
        <w:spacing w:after="0"/>
        <w:rPr>
          <w:rFonts w:ascii="Aptos" w:eastAsia="Aptos" w:hAnsi="Aptos" w:cs="Aptos"/>
          <w:color w:val="000000" w:themeColor="text1"/>
        </w:rPr>
      </w:pPr>
    </w:p>
    <w:p w14:paraId="5F66949A" w14:textId="7CD994EE" w:rsidR="00BC0338" w:rsidRDefault="2299B095" w:rsidP="0676D472">
      <w:pPr>
        <w:spacing w:after="0"/>
        <w:rPr>
          <w:rFonts w:ascii="Aptos" w:eastAsia="Aptos" w:hAnsi="Aptos" w:cs="Aptos"/>
          <w:color w:val="000000" w:themeColor="text1"/>
        </w:rPr>
      </w:pPr>
      <w:r w:rsidRPr="0676D472">
        <w:rPr>
          <w:rFonts w:ascii="Aptos" w:eastAsia="Aptos" w:hAnsi="Aptos" w:cs="Aptos"/>
          <w:color w:val="000000" w:themeColor="text1"/>
        </w:rPr>
        <w:t>Continue reading for the response guide.</w:t>
      </w:r>
    </w:p>
    <w:p w14:paraId="78866A70" w14:textId="36BCF2E0" w:rsidR="00BC0338" w:rsidRDefault="00BC0338" w:rsidP="0676D472">
      <w:pPr>
        <w:spacing w:after="0"/>
        <w:rPr>
          <w:rFonts w:ascii="Aptos" w:eastAsia="Aptos" w:hAnsi="Aptos" w:cs="Aptos"/>
          <w:color w:val="000000" w:themeColor="text1"/>
        </w:rPr>
      </w:pPr>
    </w:p>
    <w:p w14:paraId="657C6587" w14:textId="77777777" w:rsidR="0087551E" w:rsidRDefault="0087551E" w:rsidP="0676D472">
      <w:pPr>
        <w:spacing w:after="0"/>
        <w:rPr>
          <w:rFonts w:ascii="Aptos" w:eastAsia="Aptos" w:hAnsi="Aptos" w:cs="Aptos"/>
          <w:color w:val="000000" w:themeColor="text1"/>
        </w:rPr>
      </w:pPr>
    </w:p>
    <w:p w14:paraId="56B4B276" w14:textId="150E3D63" w:rsidR="00BC0338" w:rsidRDefault="00BC0338" w:rsidP="0676D472">
      <w:pPr>
        <w:spacing w:after="0"/>
        <w:rPr>
          <w:rFonts w:ascii="Aptos" w:eastAsia="Aptos" w:hAnsi="Aptos" w:cs="Aptos"/>
          <w:color w:val="000000" w:themeColor="text1"/>
        </w:rPr>
      </w:pPr>
    </w:p>
    <w:p w14:paraId="70A7B4EA" w14:textId="7F07F021" w:rsidR="00BC0338" w:rsidRDefault="00BC0338" w:rsidP="0676D472">
      <w:pPr>
        <w:spacing w:after="0"/>
        <w:rPr>
          <w:rFonts w:ascii="Aptos" w:eastAsia="Aptos" w:hAnsi="Aptos" w:cs="Aptos"/>
          <w:color w:val="000000" w:themeColor="text1"/>
        </w:rPr>
      </w:pPr>
    </w:p>
    <w:p w14:paraId="44386FA9" w14:textId="2E7548FD" w:rsidR="00BC0338" w:rsidRDefault="00BC0338" w:rsidP="0676D472">
      <w:pPr>
        <w:spacing w:after="0"/>
        <w:rPr>
          <w:rFonts w:ascii="Aptos" w:eastAsia="Aptos" w:hAnsi="Aptos" w:cs="Aptos"/>
          <w:color w:val="000000" w:themeColor="text1"/>
        </w:rPr>
      </w:pPr>
    </w:p>
    <w:p w14:paraId="4BFBC7DC" w14:textId="2BCCE77C" w:rsidR="00BC0338" w:rsidRDefault="00BC0338" w:rsidP="0676D472">
      <w:pPr>
        <w:spacing w:after="0"/>
        <w:rPr>
          <w:rFonts w:ascii="Aptos" w:eastAsia="Aptos" w:hAnsi="Aptos" w:cs="Aptos"/>
          <w:color w:val="000000" w:themeColor="text1"/>
        </w:rPr>
      </w:pPr>
    </w:p>
    <w:p w14:paraId="421BD9A0" w14:textId="7E696606" w:rsidR="00BC0338" w:rsidRDefault="00BC0338" w:rsidP="0676D472">
      <w:pPr>
        <w:spacing w:after="0"/>
        <w:rPr>
          <w:rFonts w:ascii="Aptos" w:eastAsia="Aptos" w:hAnsi="Aptos" w:cs="Aptos"/>
          <w:color w:val="000000" w:themeColor="text1"/>
        </w:rPr>
      </w:pPr>
    </w:p>
    <w:p w14:paraId="7C1A5B5A" w14:textId="41ECE5C0" w:rsidR="00BC0338" w:rsidRDefault="00BC0338" w:rsidP="0676D472">
      <w:pPr>
        <w:spacing w:after="0"/>
        <w:rPr>
          <w:rFonts w:ascii="Aptos" w:eastAsia="Aptos" w:hAnsi="Aptos" w:cs="Aptos"/>
          <w:color w:val="000000" w:themeColor="text1"/>
        </w:rPr>
      </w:pPr>
    </w:p>
    <w:p w14:paraId="371B5581" w14:textId="372C2462" w:rsidR="00BC0338" w:rsidRDefault="00BC0338" w:rsidP="0676D472">
      <w:pPr>
        <w:spacing w:after="0"/>
        <w:rPr>
          <w:rFonts w:ascii="Aptos" w:eastAsia="Aptos" w:hAnsi="Aptos" w:cs="Aptos"/>
          <w:color w:val="000000" w:themeColor="text1"/>
        </w:rPr>
      </w:pPr>
    </w:p>
    <w:p w14:paraId="70F760EA" w14:textId="0AE05FD9" w:rsidR="00BC0338" w:rsidRDefault="00BC0338" w:rsidP="0676D472">
      <w:pPr>
        <w:spacing w:after="0"/>
        <w:rPr>
          <w:rFonts w:ascii="Aptos" w:eastAsia="Aptos" w:hAnsi="Aptos" w:cs="Aptos"/>
          <w:color w:val="000000" w:themeColor="text1"/>
        </w:rPr>
      </w:pPr>
    </w:p>
    <w:p w14:paraId="34EDA2D9" w14:textId="2F7F97AB" w:rsidR="00BC0338" w:rsidRDefault="00BC0338" w:rsidP="0676D472">
      <w:pPr>
        <w:spacing w:after="0"/>
        <w:rPr>
          <w:rFonts w:ascii="Aptos" w:eastAsia="Aptos" w:hAnsi="Aptos" w:cs="Aptos"/>
          <w:color w:val="000000" w:themeColor="text1"/>
          <w:u w:val="single"/>
        </w:rPr>
      </w:pPr>
    </w:p>
    <w:p w14:paraId="3650A895" w14:textId="7D4E1E09" w:rsidR="00BC0338" w:rsidRDefault="00BC0338" w:rsidP="0676D472">
      <w:pPr>
        <w:spacing w:after="0"/>
        <w:rPr>
          <w:rFonts w:ascii="Aptos" w:eastAsia="Aptos" w:hAnsi="Aptos" w:cs="Aptos"/>
          <w:color w:val="000000" w:themeColor="text1"/>
          <w:u w:val="single"/>
        </w:rPr>
      </w:pPr>
    </w:p>
    <w:p w14:paraId="33976999" w14:textId="77777777" w:rsidR="002C798D" w:rsidRDefault="002C798D" w:rsidP="0676D472">
      <w:pPr>
        <w:spacing w:after="0"/>
        <w:rPr>
          <w:rFonts w:ascii="Aptos" w:eastAsia="Aptos" w:hAnsi="Aptos" w:cs="Aptos"/>
          <w:color w:val="000000" w:themeColor="text1"/>
          <w:u w:val="single"/>
        </w:rPr>
      </w:pPr>
    </w:p>
    <w:p w14:paraId="64EACF5F" w14:textId="77777777" w:rsidR="002C798D" w:rsidRDefault="002C798D" w:rsidP="0676D472">
      <w:pPr>
        <w:spacing w:after="0"/>
        <w:rPr>
          <w:rFonts w:ascii="Aptos" w:eastAsia="Aptos" w:hAnsi="Aptos" w:cs="Aptos"/>
          <w:color w:val="000000" w:themeColor="text1"/>
          <w:u w:val="single"/>
        </w:rPr>
      </w:pPr>
    </w:p>
    <w:p w14:paraId="06303C26" w14:textId="77777777" w:rsidR="002C798D" w:rsidRDefault="002C798D" w:rsidP="0676D472">
      <w:pPr>
        <w:spacing w:after="0"/>
        <w:rPr>
          <w:rFonts w:ascii="Aptos" w:eastAsia="Aptos" w:hAnsi="Aptos" w:cs="Aptos"/>
          <w:color w:val="000000" w:themeColor="text1"/>
          <w:u w:val="single"/>
        </w:rPr>
      </w:pPr>
    </w:p>
    <w:p w14:paraId="1591B88B" w14:textId="0CE27ABC" w:rsidR="00BC0338" w:rsidRDefault="2299B095" w:rsidP="0676D472">
      <w:pPr>
        <w:spacing w:after="0"/>
        <w:rPr>
          <w:rFonts w:ascii="Aptos" w:eastAsia="Aptos" w:hAnsi="Aptos" w:cs="Aptos"/>
          <w:color w:val="000000" w:themeColor="text1"/>
        </w:rPr>
      </w:pPr>
      <w:r w:rsidRPr="0676D472">
        <w:rPr>
          <w:rFonts w:ascii="Aptos" w:eastAsia="Aptos" w:hAnsi="Aptos" w:cs="Aptos"/>
          <w:color w:val="000000" w:themeColor="text1"/>
          <w:u w:val="single"/>
        </w:rPr>
        <w:lastRenderedPageBreak/>
        <w:t>Response Guide:</w:t>
      </w:r>
    </w:p>
    <w:p w14:paraId="22F2CDFC" w14:textId="5DFF41A8" w:rsidR="00BC0338" w:rsidRDefault="00BC0338" w:rsidP="0676D472">
      <w:pPr>
        <w:spacing w:after="0"/>
        <w:rPr>
          <w:rFonts w:ascii="Aptos" w:eastAsia="Aptos" w:hAnsi="Aptos" w:cs="Aptos"/>
          <w:color w:val="000000" w:themeColor="text1"/>
        </w:rPr>
      </w:pPr>
    </w:p>
    <w:p w14:paraId="59845D68" w14:textId="6F69B9E9"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Name: </w:t>
      </w:r>
      <w:r w:rsidRPr="0676D472">
        <w:rPr>
          <w:rFonts w:ascii="Aptos" w:eastAsia="Aptos" w:hAnsi="Aptos" w:cs="Aptos"/>
          <w:color w:val="000000" w:themeColor="text1"/>
          <w:highlight w:val="yellow"/>
        </w:rPr>
        <w:t>[XXXXXX]</w:t>
      </w:r>
    </w:p>
    <w:p w14:paraId="3EFC7933" w14:textId="140C2B0E"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Email (if you agree to be contacted about your responses): </w:t>
      </w:r>
      <w:r w:rsidRPr="0676D472">
        <w:rPr>
          <w:rFonts w:ascii="Aptos" w:eastAsia="Aptos" w:hAnsi="Aptos" w:cs="Aptos"/>
          <w:color w:val="000000" w:themeColor="text1"/>
          <w:highlight w:val="yellow"/>
        </w:rPr>
        <w:t>[XXXXXX]</w:t>
      </w:r>
    </w:p>
    <w:p w14:paraId="6C7263C2" w14:textId="0E2CE00B"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Capacity (business, trade representative, other organisation, individual): </w:t>
      </w:r>
      <w:r w:rsidRPr="0676D472">
        <w:rPr>
          <w:rFonts w:ascii="Aptos" w:eastAsia="Aptos" w:hAnsi="Aptos" w:cs="Aptos"/>
          <w:color w:val="000000" w:themeColor="text1"/>
          <w:highlight w:val="yellow"/>
        </w:rPr>
        <w:t>Business</w:t>
      </w:r>
    </w:p>
    <w:p w14:paraId="2532EC6E" w14:textId="6889FD51"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Representative body: N</w:t>
      </w:r>
      <w:r w:rsidR="6C365CF5" w:rsidRPr="0676D472">
        <w:rPr>
          <w:rFonts w:ascii="Aptos" w:eastAsia="Aptos" w:hAnsi="Aptos" w:cs="Aptos"/>
          <w:color w:val="000000" w:themeColor="text1"/>
        </w:rPr>
        <w:t>/</w:t>
      </w:r>
      <w:r w:rsidRPr="0676D472">
        <w:rPr>
          <w:rFonts w:ascii="Aptos" w:eastAsia="Aptos" w:hAnsi="Aptos" w:cs="Aptos"/>
          <w:color w:val="000000" w:themeColor="text1"/>
        </w:rPr>
        <w:t>A</w:t>
      </w:r>
    </w:p>
    <w:p w14:paraId="6BD9AE4E" w14:textId="51944584"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Size of business (if applicable): Turnover </w:t>
      </w:r>
      <w:r w:rsidRPr="0676D472">
        <w:rPr>
          <w:rFonts w:ascii="Aptos" w:eastAsia="Aptos" w:hAnsi="Aptos" w:cs="Aptos"/>
          <w:color w:val="000000" w:themeColor="text1"/>
          <w:highlight w:val="yellow"/>
        </w:rPr>
        <w:t>[XXXXXX]</w:t>
      </w:r>
      <w:r w:rsidRPr="0676D472">
        <w:rPr>
          <w:rFonts w:ascii="Aptos" w:eastAsia="Aptos" w:hAnsi="Aptos" w:cs="Aptos"/>
          <w:color w:val="000000" w:themeColor="text1"/>
        </w:rPr>
        <w:t xml:space="preserve"> Employment </w:t>
      </w:r>
      <w:r w:rsidRPr="0676D472">
        <w:rPr>
          <w:rFonts w:ascii="Aptos" w:eastAsia="Aptos" w:hAnsi="Aptos" w:cs="Aptos"/>
          <w:color w:val="000000" w:themeColor="text1"/>
          <w:highlight w:val="yellow"/>
        </w:rPr>
        <w:t>[XXXXXX]</w:t>
      </w:r>
    </w:p>
    <w:p w14:paraId="65C27567" w14:textId="6B0B2FC0"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Name of business/organisation/representative body: </w:t>
      </w:r>
      <w:r w:rsidRPr="0676D472">
        <w:rPr>
          <w:rFonts w:ascii="Aptos" w:eastAsia="Aptos" w:hAnsi="Aptos" w:cs="Aptos"/>
          <w:color w:val="000000" w:themeColor="text1"/>
          <w:highlight w:val="yellow"/>
        </w:rPr>
        <w:t>[XXXXXX]</w:t>
      </w:r>
    </w:p>
    <w:p w14:paraId="00F0BAA4" w14:textId="0E468A01" w:rsidR="00BC0338" w:rsidRDefault="2EE0D2F3" w:rsidP="0676D472">
      <w:pPr>
        <w:pStyle w:val="ListParagraph"/>
        <w:numPr>
          <w:ilvl w:val="0"/>
          <w:numId w:val="15"/>
        </w:numPr>
        <w:spacing w:after="0"/>
        <w:rPr>
          <w:rFonts w:ascii="Aptos" w:eastAsia="Aptos" w:hAnsi="Aptos" w:cs="Aptos"/>
          <w:color w:val="000000" w:themeColor="text1"/>
        </w:rPr>
      </w:pPr>
      <w:r w:rsidRPr="0676D472">
        <w:rPr>
          <w:rFonts w:ascii="Aptos" w:eastAsia="Aptos" w:hAnsi="Aptos" w:cs="Aptos"/>
          <w:color w:val="000000" w:themeColor="text1"/>
        </w:rPr>
        <w:t xml:space="preserve">Region: </w:t>
      </w:r>
      <w:r w:rsidRPr="0676D472">
        <w:rPr>
          <w:rFonts w:ascii="Aptos" w:eastAsia="Aptos" w:hAnsi="Aptos" w:cs="Aptos"/>
          <w:color w:val="000000" w:themeColor="text1"/>
          <w:highlight w:val="yellow"/>
        </w:rPr>
        <w:t>[XXXXXX]</w:t>
      </w:r>
    </w:p>
    <w:p w14:paraId="6365460E" w14:textId="1AA6157F" w:rsidR="00BC0338" w:rsidRDefault="1E967A03" w:rsidP="0676D472">
      <w:pPr>
        <w:pStyle w:val="ListParagraph"/>
        <w:numPr>
          <w:ilvl w:val="0"/>
          <w:numId w:val="15"/>
        </w:numPr>
        <w:spacing w:after="0"/>
        <w:rPr>
          <w:rFonts w:ascii="Aptos" w:eastAsia="Aptos" w:hAnsi="Aptos" w:cs="Aptos"/>
          <w:color w:val="000000" w:themeColor="text1"/>
        </w:rPr>
      </w:pPr>
      <w:r w:rsidRPr="582284F0">
        <w:rPr>
          <w:rFonts w:ascii="Aptos" w:eastAsia="Aptos" w:hAnsi="Aptos" w:cs="Aptos"/>
          <w:color w:val="000000" w:themeColor="text1"/>
        </w:rPr>
        <w:t xml:space="preserve">Sector: </w:t>
      </w:r>
      <w:r w:rsidRPr="582284F0">
        <w:rPr>
          <w:rFonts w:ascii="Aptos" w:eastAsia="Aptos" w:hAnsi="Aptos" w:cs="Aptos"/>
          <w:color w:val="000000" w:themeColor="text1"/>
          <w:highlight w:val="yellow"/>
        </w:rPr>
        <w:t>Roofing/Cladding</w:t>
      </w:r>
      <w:r w:rsidRPr="582284F0">
        <w:rPr>
          <w:rFonts w:ascii="Aptos" w:eastAsia="Aptos" w:hAnsi="Aptos" w:cs="Aptos"/>
          <w:color w:val="000000" w:themeColor="text1"/>
        </w:rPr>
        <w:t xml:space="preserve"> Services across construction, FM and maintenance.</w:t>
      </w:r>
    </w:p>
    <w:p w14:paraId="4023A52E" w14:textId="3D6A05B9" w:rsidR="582284F0" w:rsidRDefault="582284F0" w:rsidP="582284F0">
      <w:pPr>
        <w:pStyle w:val="ListParagraph"/>
        <w:spacing w:after="0"/>
        <w:rPr>
          <w:rFonts w:ascii="Aptos" w:eastAsia="Aptos" w:hAnsi="Aptos" w:cs="Aptos"/>
          <w:color w:val="000000" w:themeColor="text1"/>
        </w:rPr>
      </w:pPr>
    </w:p>
    <w:tbl>
      <w:tblPr>
        <w:tblStyle w:val="TableGrid"/>
        <w:tblW w:w="0" w:type="auto"/>
        <w:tblLayout w:type="fixed"/>
        <w:tblLook w:val="06A0" w:firstRow="1" w:lastRow="0" w:firstColumn="1" w:lastColumn="0" w:noHBand="1" w:noVBand="1"/>
      </w:tblPr>
      <w:tblGrid>
        <w:gridCol w:w="4508"/>
        <w:gridCol w:w="4508"/>
      </w:tblGrid>
      <w:tr w:rsidR="582284F0" w14:paraId="59F5C209" w14:textId="77777777" w:rsidTr="009E54B9">
        <w:trPr>
          <w:trHeight w:val="300"/>
        </w:trPr>
        <w:tc>
          <w:tcPr>
            <w:tcW w:w="4508" w:type="dxa"/>
            <w:shd w:val="clear" w:color="auto" w:fill="D9D9D9" w:themeFill="background1" w:themeFillShade="D9"/>
          </w:tcPr>
          <w:p w14:paraId="37E8A3AC" w14:textId="0186F5DC"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Question</w:t>
            </w:r>
          </w:p>
        </w:tc>
        <w:tc>
          <w:tcPr>
            <w:tcW w:w="4508" w:type="dxa"/>
            <w:shd w:val="clear" w:color="auto" w:fill="D9D9D9" w:themeFill="background1" w:themeFillShade="D9"/>
          </w:tcPr>
          <w:p w14:paraId="645FEB93" w14:textId="1C14A488"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7C73A674" w14:textId="77777777" w:rsidTr="582284F0">
        <w:trPr>
          <w:trHeight w:val="300"/>
        </w:trPr>
        <w:tc>
          <w:tcPr>
            <w:tcW w:w="4508" w:type="dxa"/>
          </w:tcPr>
          <w:p w14:paraId="5C26BF6F" w14:textId="23A095D6" w:rsidR="387257BE" w:rsidRDefault="387257BE" w:rsidP="582284F0">
            <w:pPr>
              <w:rPr>
                <w:rFonts w:ascii="Aptos" w:eastAsia="Aptos" w:hAnsi="Aptos" w:cs="Aptos"/>
                <w:color w:val="000000" w:themeColor="text1"/>
              </w:rPr>
            </w:pPr>
            <w:r w:rsidRPr="582284F0">
              <w:rPr>
                <w:rFonts w:ascii="Aptos" w:eastAsia="Aptos" w:hAnsi="Aptos" w:cs="Aptos"/>
                <w:color w:val="FF0000"/>
              </w:rPr>
              <w:t>9a</w:t>
            </w:r>
            <w:r w:rsidRPr="582284F0">
              <w:rPr>
                <w:rFonts w:ascii="Aptos" w:eastAsia="Aptos" w:hAnsi="Aptos" w:cs="Aptos"/>
                <w:color w:val="000000" w:themeColor="text1"/>
              </w:rPr>
              <w:t xml:space="preserve"> To what extent do you agree that Audit Committees, where companies have them, should provide commentary and make recommendations to company directors before data is submitted to Government and included in Directors reports?</w:t>
            </w:r>
          </w:p>
          <w:p w14:paraId="76D74677" w14:textId="7B7CDF70" w:rsidR="582284F0" w:rsidRDefault="582284F0" w:rsidP="582284F0">
            <w:pPr>
              <w:rPr>
                <w:rFonts w:ascii="Aptos" w:eastAsia="Aptos" w:hAnsi="Aptos" w:cs="Aptos"/>
                <w:color w:val="000000" w:themeColor="text1"/>
              </w:rPr>
            </w:pPr>
          </w:p>
        </w:tc>
        <w:tc>
          <w:tcPr>
            <w:tcW w:w="4508" w:type="dxa"/>
          </w:tcPr>
          <w:p w14:paraId="6073D640" w14:textId="2EF5999C"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4086FACA" w14:textId="77777777" w:rsidTr="582284F0">
        <w:trPr>
          <w:trHeight w:val="300"/>
        </w:trPr>
        <w:tc>
          <w:tcPr>
            <w:tcW w:w="4508" w:type="dxa"/>
          </w:tcPr>
          <w:p w14:paraId="21E28859" w14:textId="1241D23C" w:rsidR="387257BE" w:rsidRDefault="387257BE" w:rsidP="582284F0">
            <w:pPr>
              <w:rPr>
                <w:rFonts w:ascii="Aptos" w:eastAsia="Aptos" w:hAnsi="Aptos" w:cs="Aptos"/>
                <w:color w:val="000000" w:themeColor="text1"/>
              </w:rPr>
            </w:pPr>
            <w:r w:rsidRPr="582284F0">
              <w:rPr>
                <w:rFonts w:ascii="Aptos" w:eastAsia="Aptos" w:hAnsi="Aptos" w:cs="Aptos"/>
                <w:color w:val="FF0000"/>
              </w:rPr>
              <w:t>9b</w:t>
            </w:r>
            <w:r w:rsidRPr="582284F0">
              <w:rPr>
                <w:rFonts w:ascii="Aptos" w:eastAsia="Aptos" w:hAnsi="Aptos" w:cs="Aptos"/>
                <w:color w:val="000000" w:themeColor="text1"/>
              </w:rPr>
              <w:t xml:space="preserve"> To what extent do you agree that the Small Business Commissioner should write to audit committees and company board, where companies have them, when undertaking payment performance reporting assurance and when investigating any other matter relating to a companies’ payment practices?</w:t>
            </w:r>
          </w:p>
          <w:p w14:paraId="5F223C93" w14:textId="2E80F422" w:rsidR="582284F0" w:rsidRDefault="582284F0" w:rsidP="582284F0">
            <w:pPr>
              <w:rPr>
                <w:rFonts w:ascii="Aptos" w:eastAsia="Aptos" w:hAnsi="Aptos" w:cs="Aptos"/>
                <w:color w:val="000000" w:themeColor="text1"/>
              </w:rPr>
            </w:pPr>
          </w:p>
        </w:tc>
        <w:tc>
          <w:tcPr>
            <w:tcW w:w="4508" w:type="dxa"/>
          </w:tcPr>
          <w:p w14:paraId="2F807D22" w14:textId="4EBFB548"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Strongly disagree.</w:t>
            </w:r>
          </w:p>
        </w:tc>
      </w:tr>
      <w:tr w:rsidR="582284F0" w14:paraId="215E133C" w14:textId="77777777" w:rsidTr="582284F0">
        <w:trPr>
          <w:trHeight w:val="300"/>
        </w:trPr>
        <w:tc>
          <w:tcPr>
            <w:tcW w:w="4508" w:type="dxa"/>
          </w:tcPr>
          <w:p w14:paraId="428C7F97" w14:textId="50907E48" w:rsidR="387257BE" w:rsidRDefault="387257BE" w:rsidP="582284F0">
            <w:pPr>
              <w:rPr>
                <w:rFonts w:ascii="Aptos" w:eastAsia="Aptos" w:hAnsi="Aptos" w:cs="Aptos"/>
                <w:color w:val="000000" w:themeColor="text1"/>
              </w:rPr>
            </w:pPr>
            <w:r w:rsidRPr="582284F0">
              <w:rPr>
                <w:rFonts w:ascii="Aptos" w:eastAsia="Aptos" w:hAnsi="Aptos" w:cs="Aptos"/>
                <w:color w:val="FF0000"/>
              </w:rPr>
              <w:t>9c</w:t>
            </w:r>
            <w:r w:rsidRPr="582284F0">
              <w:rPr>
                <w:rFonts w:ascii="Aptos" w:eastAsia="Aptos" w:hAnsi="Aptos" w:cs="Aptos"/>
                <w:color w:val="000000" w:themeColor="text1"/>
              </w:rPr>
              <w:t xml:space="preserve"> Are there any potential unintended consequences or considerations that could happen if this measure was introduced?</w:t>
            </w:r>
          </w:p>
          <w:p w14:paraId="0950C3F4" w14:textId="30DACD56" w:rsidR="582284F0" w:rsidRDefault="582284F0" w:rsidP="582284F0">
            <w:pPr>
              <w:rPr>
                <w:rFonts w:ascii="Aptos" w:eastAsia="Aptos" w:hAnsi="Aptos" w:cs="Aptos"/>
                <w:color w:val="000000" w:themeColor="text1"/>
              </w:rPr>
            </w:pPr>
          </w:p>
        </w:tc>
        <w:tc>
          <w:tcPr>
            <w:tcW w:w="4508" w:type="dxa"/>
          </w:tcPr>
          <w:p w14:paraId="59A129FF" w14:textId="5B5ADC13"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Yes.</w:t>
            </w:r>
          </w:p>
        </w:tc>
      </w:tr>
      <w:tr w:rsidR="582284F0" w14:paraId="1F209E45" w14:textId="77777777" w:rsidTr="582284F0">
        <w:trPr>
          <w:trHeight w:val="300"/>
        </w:trPr>
        <w:tc>
          <w:tcPr>
            <w:tcW w:w="4508" w:type="dxa"/>
          </w:tcPr>
          <w:p w14:paraId="7FC2A605" w14:textId="74DECF94" w:rsidR="387257BE" w:rsidRDefault="387257BE" w:rsidP="582284F0">
            <w:pPr>
              <w:rPr>
                <w:rFonts w:ascii="Aptos" w:eastAsia="Aptos" w:hAnsi="Aptos" w:cs="Aptos"/>
                <w:color w:val="000000" w:themeColor="text1"/>
              </w:rPr>
            </w:pPr>
            <w:r w:rsidRPr="582284F0">
              <w:rPr>
                <w:rFonts w:ascii="Aptos" w:eastAsia="Aptos" w:hAnsi="Aptos" w:cs="Aptos"/>
                <w:color w:val="FF0000"/>
              </w:rPr>
              <w:t>9d</w:t>
            </w:r>
            <w:r w:rsidRPr="582284F0">
              <w:rPr>
                <w:rFonts w:ascii="Aptos" w:eastAsia="Aptos" w:hAnsi="Aptos" w:cs="Aptos"/>
                <w:color w:val="000000" w:themeColor="text1"/>
              </w:rPr>
              <w:t xml:space="preserve"> Please explain the reasons for your answer to question 9c.</w:t>
            </w:r>
          </w:p>
          <w:p w14:paraId="471E44ED" w14:textId="305D2535" w:rsidR="582284F0" w:rsidRDefault="582284F0" w:rsidP="582284F0">
            <w:pPr>
              <w:rPr>
                <w:rFonts w:ascii="Aptos" w:eastAsia="Aptos" w:hAnsi="Aptos" w:cs="Aptos"/>
                <w:color w:val="FF0000"/>
              </w:rPr>
            </w:pPr>
          </w:p>
        </w:tc>
        <w:tc>
          <w:tcPr>
            <w:tcW w:w="4508" w:type="dxa"/>
          </w:tcPr>
          <w:p w14:paraId="5E1E648F" w14:textId="5BD7ADD2" w:rsidR="387257BE" w:rsidRDefault="387257BE" w:rsidP="582284F0">
            <w:pPr>
              <w:rPr>
                <w:rFonts w:ascii="Aptos" w:eastAsia="Aptos" w:hAnsi="Aptos" w:cs="Aptos"/>
                <w:color w:val="000000" w:themeColor="text1"/>
              </w:rPr>
            </w:pPr>
            <w:r w:rsidRPr="582284F0">
              <w:rPr>
                <w:rFonts w:ascii="Aptos" w:eastAsia="Aptos" w:hAnsi="Aptos" w:cs="Aptos"/>
                <w:color w:val="000000" w:themeColor="text1"/>
              </w:rPr>
              <w:t>The Small Business Commissioner (SBC) should only be required to write to audit committees and company boards where it is genuinely appropriate. Imposing a blanket obligation risks limiting the SBC’s ability to carry out payment performance reporting assurance or to investigate other issues relating to company payment practices. This decision should remain at the SBC’s discretion, without any legal requirement to formally notify audit committees or boards unless the SBC considers it necessary.</w:t>
            </w:r>
          </w:p>
        </w:tc>
      </w:tr>
    </w:tbl>
    <w:p w14:paraId="1AAD9024" w14:textId="4E6E9290" w:rsidR="009E54B9" w:rsidRDefault="009E54B9"/>
    <w:tbl>
      <w:tblPr>
        <w:tblStyle w:val="TableGrid"/>
        <w:tblW w:w="0" w:type="auto"/>
        <w:tblLayout w:type="fixed"/>
        <w:tblLook w:val="06A0" w:firstRow="1" w:lastRow="0" w:firstColumn="1" w:lastColumn="0" w:noHBand="1" w:noVBand="1"/>
      </w:tblPr>
      <w:tblGrid>
        <w:gridCol w:w="4508"/>
        <w:gridCol w:w="4508"/>
      </w:tblGrid>
      <w:tr w:rsidR="009E54B9" w14:paraId="23382681" w14:textId="77777777">
        <w:trPr>
          <w:trHeight w:val="300"/>
        </w:trPr>
        <w:tc>
          <w:tcPr>
            <w:tcW w:w="4508" w:type="dxa"/>
            <w:shd w:val="clear" w:color="auto" w:fill="D9D9D9" w:themeFill="background1" w:themeFillShade="D9"/>
          </w:tcPr>
          <w:p w14:paraId="0F7F8122" w14:textId="77777777" w:rsidR="009E54B9" w:rsidRDefault="009E54B9">
            <w:pPr>
              <w:rPr>
                <w:rFonts w:ascii="Aptos" w:eastAsia="Aptos" w:hAnsi="Aptos" w:cs="Aptos"/>
                <w:color w:val="000000" w:themeColor="text1"/>
              </w:rPr>
            </w:pPr>
            <w:r w:rsidRPr="582284F0">
              <w:rPr>
                <w:rFonts w:ascii="Aptos" w:eastAsia="Aptos" w:hAnsi="Aptos" w:cs="Aptos"/>
                <w:color w:val="000000" w:themeColor="text1"/>
              </w:rPr>
              <w:t>Question</w:t>
            </w:r>
          </w:p>
        </w:tc>
        <w:tc>
          <w:tcPr>
            <w:tcW w:w="4508" w:type="dxa"/>
            <w:shd w:val="clear" w:color="auto" w:fill="D9D9D9" w:themeFill="background1" w:themeFillShade="D9"/>
          </w:tcPr>
          <w:p w14:paraId="2989B6D7" w14:textId="77777777" w:rsidR="009E54B9" w:rsidRDefault="009E54B9">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158710F8" w14:textId="77777777" w:rsidTr="582284F0">
        <w:trPr>
          <w:trHeight w:val="300"/>
        </w:trPr>
        <w:tc>
          <w:tcPr>
            <w:tcW w:w="4508" w:type="dxa"/>
          </w:tcPr>
          <w:p w14:paraId="453021EA" w14:textId="2554236E" w:rsidR="2FAF6A58" w:rsidRDefault="2FAF6A58" w:rsidP="582284F0">
            <w:pPr>
              <w:rPr>
                <w:rFonts w:ascii="Aptos" w:eastAsia="Aptos" w:hAnsi="Aptos" w:cs="Aptos"/>
                <w:color w:val="000000" w:themeColor="text1"/>
              </w:rPr>
            </w:pPr>
            <w:r w:rsidRPr="582284F0">
              <w:rPr>
                <w:rFonts w:ascii="Aptos" w:eastAsia="Aptos" w:hAnsi="Aptos" w:cs="Aptos"/>
                <w:color w:val="FF0000"/>
              </w:rPr>
              <w:t>10a</w:t>
            </w:r>
            <w:r w:rsidRPr="582284F0">
              <w:rPr>
                <w:rFonts w:ascii="Aptos" w:eastAsia="Aptos" w:hAnsi="Aptos" w:cs="Aptos"/>
                <w:color w:val="000000" w:themeColor="text1"/>
              </w:rPr>
              <w:t xml:space="preserve"> To what extent do you agree that limiting UK payment terms to 60 days at a maximum will be effective in addressing the stated problem of long payment times?</w:t>
            </w:r>
          </w:p>
          <w:p w14:paraId="0D3C73DA" w14:textId="7355197E" w:rsidR="582284F0" w:rsidRDefault="582284F0" w:rsidP="582284F0">
            <w:pPr>
              <w:rPr>
                <w:rFonts w:ascii="Aptos" w:eastAsia="Aptos" w:hAnsi="Aptos" w:cs="Aptos"/>
                <w:color w:val="000000" w:themeColor="text1"/>
              </w:rPr>
            </w:pPr>
          </w:p>
        </w:tc>
        <w:tc>
          <w:tcPr>
            <w:tcW w:w="4508" w:type="dxa"/>
          </w:tcPr>
          <w:p w14:paraId="316CE1BD" w14:textId="765F0059" w:rsidR="2FAF6A58" w:rsidRDefault="2FAF6A58" w:rsidP="582284F0">
            <w:pPr>
              <w:rPr>
                <w:rFonts w:ascii="Aptos" w:eastAsia="Aptos" w:hAnsi="Aptos" w:cs="Aptos"/>
                <w:color w:val="000000" w:themeColor="text1"/>
              </w:rPr>
            </w:pPr>
            <w:r w:rsidRPr="582284F0">
              <w:rPr>
                <w:rFonts w:ascii="Aptos" w:eastAsia="Aptos" w:hAnsi="Aptos" w:cs="Aptos"/>
                <w:color w:val="000000" w:themeColor="text1"/>
              </w:rPr>
              <w:t>Strongly agree.</w:t>
            </w:r>
          </w:p>
          <w:p w14:paraId="1421DB38" w14:textId="4FC5F6C9" w:rsidR="582284F0" w:rsidRDefault="582284F0" w:rsidP="582284F0">
            <w:pPr>
              <w:rPr>
                <w:rFonts w:ascii="Aptos" w:eastAsia="Aptos" w:hAnsi="Aptos" w:cs="Aptos"/>
                <w:color w:val="000000" w:themeColor="text1"/>
              </w:rPr>
            </w:pPr>
          </w:p>
        </w:tc>
      </w:tr>
      <w:tr w:rsidR="582284F0" w14:paraId="157F926E" w14:textId="77777777" w:rsidTr="582284F0">
        <w:trPr>
          <w:trHeight w:val="300"/>
        </w:trPr>
        <w:tc>
          <w:tcPr>
            <w:tcW w:w="4508" w:type="dxa"/>
          </w:tcPr>
          <w:p w14:paraId="5F2F8AFE" w14:textId="601DBDE3" w:rsidR="2FAF6A58" w:rsidRDefault="2FAF6A58" w:rsidP="582284F0">
            <w:pPr>
              <w:rPr>
                <w:rFonts w:ascii="Aptos" w:eastAsia="Aptos" w:hAnsi="Aptos" w:cs="Aptos"/>
                <w:color w:val="000000" w:themeColor="text1"/>
              </w:rPr>
            </w:pPr>
            <w:r w:rsidRPr="582284F0">
              <w:rPr>
                <w:rFonts w:ascii="Aptos" w:eastAsia="Aptos" w:hAnsi="Aptos" w:cs="Aptos"/>
                <w:color w:val="FF0000"/>
              </w:rPr>
              <w:t>10b</w:t>
            </w:r>
            <w:r w:rsidRPr="582284F0">
              <w:rPr>
                <w:rFonts w:ascii="Aptos" w:eastAsia="Aptos" w:hAnsi="Aptos" w:cs="Aptos"/>
                <w:color w:val="000000" w:themeColor="text1"/>
              </w:rPr>
              <w:t xml:space="preserve"> Please explain the reasons for your answer to question 10a</w:t>
            </w:r>
          </w:p>
          <w:p w14:paraId="4B216BEF" w14:textId="63C9E382" w:rsidR="582284F0" w:rsidRDefault="582284F0" w:rsidP="582284F0">
            <w:pPr>
              <w:rPr>
                <w:rFonts w:ascii="Aptos" w:eastAsia="Aptos" w:hAnsi="Aptos" w:cs="Aptos"/>
                <w:color w:val="000000" w:themeColor="text1"/>
              </w:rPr>
            </w:pPr>
          </w:p>
        </w:tc>
        <w:tc>
          <w:tcPr>
            <w:tcW w:w="4508" w:type="dxa"/>
          </w:tcPr>
          <w:p w14:paraId="6E1AEA73" w14:textId="5F6D84BF" w:rsidR="2FAF6A58" w:rsidRDefault="2FAF6A58" w:rsidP="582284F0">
            <w:pPr>
              <w:rPr>
                <w:rFonts w:ascii="Aptos" w:eastAsia="Aptos" w:hAnsi="Aptos" w:cs="Aptos"/>
                <w:color w:val="000000" w:themeColor="text1"/>
              </w:rPr>
            </w:pPr>
            <w:r w:rsidRPr="582284F0">
              <w:rPr>
                <w:rFonts w:ascii="Aptos" w:eastAsia="Aptos" w:hAnsi="Aptos" w:cs="Aptos"/>
                <w:color w:val="000000" w:themeColor="text1"/>
              </w:rPr>
              <w:t xml:space="preserve">Currently, public sector contracts must be paid within 30 days, while private sector contracts allow up to 60 days. However, longer terms are permitted unless deemed “grossly unfair”, a vague standard which leads to exploitation as it is rarely challenged. For construction SMEs, challenging these terms during tendering can prove prohibitively costly and it can also compromise supply chain relationships. The exception to the 60-day payment limit means the limit is effectively ignored by those looking to extract value out of the supply chain, making a mockery of the legal requirement. </w:t>
            </w:r>
          </w:p>
          <w:p w14:paraId="2E2AC91C" w14:textId="1AD3A75B" w:rsidR="2FAF6A58" w:rsidRDefault="2FAF6A58" w:rsidP="582284F0">
            <w:pPr>
              <w:rPr>
                <w:rFonts w:ascii="Aptos" w:eastAsia="Aptos" w:hAnsi="Aptos" w:cs="Aptos"/>
                <w:color w:val="000000" w:themeColor="text1"/>
              </w:rPr>
            </w:pPr>
            <w:r w:rsidRPr="582284F0">
              <w:rPr>
                <w:rFonts w:ascii="Aptos" w:eastAsia="Aptos" w:hAnsi="Aptos" w:cs="Aptos"/>
                <w:color w:val="000000" w:themeColor="text1"/>
              </w:rPr>
              <w:t>When a business is asked to agree to longer than 60-day payment, it equates to financing the client’s business model and project. When this happens to a business, this directly increases solvency risk, restricts cash flow, and limits growth, investment in people, skills, marketing, and technology. Ultimately, it is unfair to SMEs at the delivery end of UK construction supply chains.</w:t>
            </w:r>
          </w:p>
          <w:p w14:paraId="3258A233" w14:textId="05D04015" w:rsidR="582284F0" w:rsidRDefault="582284F0" w:rsidP="582284F0">
            <w:pPr>
              <w:rPr>
                <w:rFonts w:ascii="Aptos" w:eastAsia="Aptos" w:hAnsi="Aptos" w:cs="Aptos"/>
                <w:color w:val="000000" w:themeColor="text1"/>
              </w:rPr>
            </w:pPr>
          </w:p>
        </w:tc>
      </w:tr>
      <w:tr w:rsidR="582284F0" w14:paraId="749584E8" w14:textId="77777777" w:rsidTr="582284F0">
        <w:trPr>
          <w:trHeight w:val="300"/>
        </w:trPr>
        <w:tc>
          <w:tcPr>
            <w:tcW w:w="4508" w:type="dxa"/>
          </w:tcPr>
          <w:p w14:paraId="1055809A" w14:textId="41AAB657" w:rsidR="2FAF6A58" w:rsidRDefault="2FAF6A58" w:rsidP="582284F0">
            <w:pPr>
              <w:rPr>
                <w:rFonts w:ascii="Aptos" w:eastAsia="Aptos" w:hAnsi="Aptos" w:cs="Aptos"/>
                <w:color w:val="000000" w:themeColor="text1"/>
              </w:rPr>
            </w:pPr>
            <w:r w:rsidRPr="582284F0">
              <w:rPr>
                <w:rFonts w:ascii="Aptos" w:eastAsia="Aptos" w:hAnsi="Aptos" w:cs="Aptos"/>
                <w:color w:val="FF0000"/>
              </w:rPr>
              <w:t>10c</w:t>
            </w:r>
            <w:r w:rsidRPr="582284F0">
              <w:rPr>
                <w:rFonts w:ascii="Aptos" w:eastAsia="Aptos" w:hAnsi="Aptos" w:cs="Aptos"/>
                <w:color w:val="000000" w:themeColor="text1"/>
              </w:rPr>
              <w:t xml:space="preserve"> Are there any potential unintended consequences or considerations that should be taken into account for the introduction of this measure?</w:t>
            </w:r>
          </w:p>
          <w:p w14:paraId="5011FD53" w14:textId="35E61F0E" w:rsidR="582284F0" w:rsidRDefault="582284F0" w:rsidP="582284F0">
            <w:pPr>
              <w:rPr>
                <w:rFonts w:ascii="Aptos" w:eastAsia="Aptos" w:hAnsi="Aptos" w:cs="Aptos"/>
                <w:color w:val="000000" w:themeColor="text1"/>
              </w:rPr>
            </w:pPr>
          </w:p>
        </w:tc>
        <w:tc>
          <w:tcPr>
            <w:tcW w:w="4508" w:type="dxa"/>
          </w:tcPr>
          <w:p w14:paraId="47ED632F" w14:textId="24D6FADD" w:rsidR="2FAF6A58" w:rsidRDefault="2FAF6A58" w:rsidP="582284F0">
            <w:pPr>
              <w:rPr>
                <w:rFonts w:ascii="Aptos" w:eastAsia="Aptos" w:hAnsi="Aptos" w:cs="Aptos"/>
                <w:color w:val="000000" w:themeColor="text1"/>
              </w:rPr>
            </w:pPr>
            <w:r w:rsidRPr="582284F0">
              <w:rPr>
                <w:rFonts w:ascii="Aptos" w:eastAsia="Aptos" w:hAnsi="Aptos" w:cs="Aptos"/>
                <w:color w:val="000000" w:themeColor="text1"/>
              </w:rPr>
              <w:t>No</w:t>
            </w:r>
          </w:p>
          <w:p w14:paraId="15C9BAEF" w14:textId="47220C2A" w:rsidR="582284F0" w:rsidRDefault="582284F0" w:rsidP="582284F0">
            <w:pPr>
              <w:rPr>
                <w:rFonts w:ascii="Aptos" w:eastAsia="Aptos" w:hAnsi="Aptos" w:cs="Aptos"/>
                <w:color w:val="000000" w:themeColor="text1"/>
              </w:rPr>
            </w:pPr>
          </w:p>
        </w:tc>
      </w:tr>
      <w:tr w:rsidR="582284F0" w14:paraId="6889AA10" w14:textId="77777777" w:rsidTr="582284F0">
        <w:trPr>
          <w:trHeight w:val="300"/>
        </w:trPr>
        <w:tc>
          <w:tcPr>
            <w:tcW w:w="4508" w:type="dxa"/>
          </w:tcPr>
          <w:p w14:paraId="3D771734" w14:textId="09E0A87A" w:rsidR="2BDB3B8F" w:rsidRDefault="2BDB3B8F" w:rsidP="582284F0">
            <w:pPr>
              <w:rPr>
                <w:rFonts w:ascii="Aptos" w:eastAsia="Aptos" w:hAnsi="Aptos" w:cs="Aptos"/>
                <w:color w:val="000000" w:themeColor="text1"/>
              </w:rPr>
            </w:pPr>
            <w:r w:rsidRPr="582284F0">
              <w:rPr>
                <w:rFonts w:ascii="Aptos" w:eastAsia="Aptos" w:hAnsi="Aptos" w:cs="Aptos"/>
                <w:color w:val="FF0000"/>
              </w:rPr>
              <w:t>10d</w:t>
            </w:r>
            <w:r w:rsidRPr="582284F0">
              <w:rPr>
                <w:rFonts w:ascii="Aptos" w:eastAsia="Aptos" w:hAnsi="Aptos" w:cs="Aptos"/>
                <w:color w:val="000000" w:themeColor="text1"/>
              </w:rPr>
              <w:t xml:space="preserve"> Please explain the reasons for your answer to question 10c.</w:t>
            </w:r>
          </w:p>
          <w:p w14:paraId="5CA9B7B2" w14:textId="6ABCFFA2" w:rsidR="582284F0" w:rsidRDefault="582284F0" w:rsidP="582284F0">
            <w:pPr>
              <w:rPr>
                <w:rFonts w:ascii="Aptos" w:eastAsia="Aptos" w:hAnsi="Aptos" w:cs="Aptos"/>
                <w:color w:val="FF0000"/>
              </w:rPr>
            </w:pPr>
          </w:p>
        </w:tc>
        <w:tc>
          <w:tcPr>
            <w:tcW w:w="4508" w:type="dxa"/>
          </w:tcPr>
          <w:p w14:paraId="70D268DA" w14:textId="4FBF6EDA"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N/A</w:t>
            </w:r>
          </w:p>
          <w:p w14:paraId="51CF7290" w14:textId="0394D937" w:rsidR="582284F0" w:rsidRDefault="582284F0" w:rsidP="582284F0">
            <w:pPr>
              <w:rPr>
                <w:rFonts w:ascii="Aptos" w:eastAsia="Aptos" w:hAnsi="Aptos" w:cs="Aptos"/>
                <w:color w:val="000000" w:themeColor="text1"/>
              </w:rPr>
            </w:pPr>
          </w:p>
        </w:tc>
      </w:tr>
    </w:tbl>
    <w:p w14:paraId="7DF750BC" w14:textId="58D72B9C" w:rsidR="00BD2C2D" w:rsidRDefault="00BD2C2D" w:rsidP="0676D472">
      <w:pPr>
        <w:spacing w:after="0"/>
        <w:ind w:left="720"/>
        <w:rPr>
          <w:rFonts w:ascii="Aptos" w:eastAsia="Aptos" w:hAnsi="Aptos" w:cs="Aptos"/>
          <w:color w:val="000000" w:themeColor="text1"/>
        </w:rPr>
      </w:pPr>
    </w:p>
    <w:p w14:paraId="2B86FB39" w14:textId="77777777" w:rsidR="00BD2C2D" w:rsidRDefault="00BD2C2D">
      <w:pPr>
        <w:rPr>
          <w:rFonts w:ascii="Aptos" w:eastAsia="Aptos" w:hAnsi="Aptos" w:cs="Aptos"/>
          <w:color w:val="000000" w:themeColor="text1"/>
        </w:rPr>
      </w:pPr>
      <w:r>
        <w:rPr>
          <w:rFonts w:ascii="Aptos" w:eastAsia="Aptos" w:hAnsi="Aptos" w:cs="Aptos"/>
          <w:color w:val="000000" w:themeColor="text1"/>
        </w:rPr>
        <w:br w:type="page"/>
      </w:r>
    </w:p>
    <w:p w14:paraId="2B453C42" w14:textId="77777777" w:rsidR="00BC0338" w:rsidRDefault="00BC0338" w:rsidP="0676D472">
      <w:pPr>
        <w:spacing w:after="0"/>
        <w:ind w:left="720"/>
        <w:rPr>
          <w:rFonts w:ascii="Aptos" w:eastAsia="Aptos" w:hAnsi="Aptos" w:cs="Aptos"/>
          <w:color w:val="000000" w:themeColor="text1"/>
        </w:rPr>
      </w:pPr>
    </w:p>
    <w:tbl>
      <w:tblPr>
        <w:tblStyle w:val="TableGrid"/>
        <w:tblW w:w="0" w:type="auto"/>
        <w:tblLayout w:type="fixed"/>
        <w:tblLook w:val="06A0" w:firstRow="1" w:lastRow="0" w:firstColumn="1" w:lastColumn="0" w:noHBand="1" w:noVBand="1"/>
      </w:tblPr>
      <w:tblGrid>
        <w:gridCol w:w="4508"/>
        <w:gridCol w:w="4508"/>
      </w:tblGrid>
      <w:tr w:rsidR="00BD2C2D" w14:paraId="750C89BD" w14:textId="77777777" w:rsidTr="009E54B9">
        <w:trPr>
          <w:trHeight w:val="300"/>
        </w:trPr>
        <w:tc>
          <w:tcPr>
            <w:tcW w:w="4508" w:type="dxa"/>
            <w:shd w:val="clear" w:color="auto" w:fill="D9D9D9" w:themeFill="background1" w:themeFillShade="D9"/>
          </w:tcPr>
          <w:p w14:paraId="76BC04CC" w14:textId="77777777" w:rsidR="00BD2C2D" w:rsidRDefault="00BD2C2D">
            <w:pPr>
              <w:rPr>
                <w:rFonts w:ascii="Aptos" w:eastAsia="Aptos" w:hAnsi="Aptos" w:cs="Aptos"/>
                <w:color w:val="000000" w:themeColor="text1"/>
              </w:rPr>
            </w:pPr>
            <w:r w:rsidRPr="582284F0">
              <w:rPr>
                <w:rFonts w:ascii="Aptos" w:eastAsia="Aptos" w:hAnsi="Aptos" w:cs="Aptos"/>
                <w:color w:val="000000" w:themeColor="text1"/>
              </w:rPr>
              <w:t>Question</w:t>
            </w:r>
          </w:p>
        </w:tc>
        <w:tc>
          <w:tcPr>
            <w:tcW w:w="4508" w:type="dxa"/>
            <w:shd w:val="clear" w:color="auto" w:fill="D9D9D9" w:themeFill="background1" w:themeFillShade="D9"/>
          </w:tcPr>
          <w:p w14:paraId="2610FED2" w14:textId="77777777" w:rsidR="00BD2C2D" w:rsidRDefault="00BD2C2D">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513D3CDF" w14:textId="77777777" w:rsidTr="582284F0">
        <w:trPr>
          <w:trHeight w:val="300"/>
        </w:trPr>
        <w:tc>
          <w:tcPr>
            <w:tcW w:w="4508" w:type="dxa"/>
          </w:tcPr>
          <w:p w14:paraId="2746590E" w14:textId="7EA4961F" w:rsidR="2BDB3B8F" w:rsidRDefault="2BDB3B8F" w:rsidP="582284F0">
            <w:pPr>
              <w:rPr>
                <w:rFonts w:ascii="Aptos" w:eastAsia="Aptos" w:hAnsi="Aptos" w:cs="Aptos"/>
                <w:color w:val="000000" w:themeColor="text1"/>
              </w:rPr>
            </w:pPr>
            <w:r w:rsidRPr="582284F0">
              <w:rPr>
                <w:rFonts w:ascii="Aptos" w:eastAsia="Aptos" w:hAnsi="Aptos" w:cs="Aptos"/>
                <w:color w:val="FF0000"/>
              </w:rPr>
              <w:t>10e</w:t>
            </w:r>
            <w:r w:rsidRPr="582284F0">
              <w:rPr>
                <w:rFonts w:ascii="Aptos" w:eastAsia="Aptos" w:hAnsi="Aptos" w:cs="Aptos"/>
                <w:color w:val="000000" w:themeColor="text1"/>
              </w:rPr>
              <w:t xml:space="preserve"> What exemptions, if any, do you think should apply and why – for example, in specific sectors or in particular circumstances?</w:t>
            </w:r>
          </w:p>
          <w:p w14:paraId="22FDBA27" w14:textId="0BDF635F" w:rsidR="582284F0" w:rsidRDefault="582284F0" w:rsidP="582284F0">
            <w:pPr>
              <w:rPr>
                <w:rFonts w:ascii="Aptos" w:eastAsia="Aptos" w:hAnsi="Aptos" w:cs="Aptos"/>
                <w:color w:val="000000" w:themeColor="text1"/>
              </w:rPr>
            </w:pPr>
          </w:p>
        </w:tc>
        <w:tc>
          <w:tcPr>
            <w:tcW w:w="4508" w:type="dxa"/>
          </w:tcPr>
          <w:p w14:paraId="19DA208C" w14:textId="6D460CCA"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 xml:space="preserve">There are no sectors or circumstances within construction where exemptions are justified. Even on critical infrastructure projects where companies do not pay by monthly instalments, there is no need for special treatment. The 60-day countdown starts from the date the payment application is submitted, not from when the work itself is completed, meaning quarterly payments or other agreed schedules are still possible, but the payment deadline is clear, allowing for stability in forward thinking. </w:t>
            </w:r>
          </w:p>
          <w:p w14:paraId="07C4FA56" w14:textId="743A4ABA"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Exemptions open the door to loopholes for clients to delay payment by hiding behind complicated legal wording, perpetuating the preexisting problem. A foundational aspect of any legitimate business or organisation must be its ability to pay its suppliers on time.</w:t>
            </w:r>
          </w:p>
          <w:p w14:paraId="22E3968E" w14:textId="04F60A57" w:rsidR="582284F0" w:rsidRDefault="582284F0" w:rsidP="582284F0">
            <w:pPr>
              <w:rPr>
                <w:rFonts w:ascii="Aptos" w:eastAsia="Aptos" w:hAnsi="Aptos" w:cs="Aptos"/>
                <w:color w:val="000000" w:themeColor="text1"/>
              </w:rPr>
            </w:pPr>
          </w:p>
        </w:tc>
      </w:tr>
    </w:tbl>
    <w:p w14:paraId="756418AC" w14:textId="2170E2DB" w:rsidR="00A36F75" w:rsidRDefault="00A36F75" w:rsidP="582284F0">
      <w:pPr>
        <w:spacing w:after="0"/>
        <w:rPr>
          <w:rFonts w:ascii="Aptos" w:eastAsia="Aptos" w:hAnsi="Aptos" w:cs="Aptos"/>
          <w:color w:val="000000" w:themeColor="text1"/>
        </w:rPr>
      </w:pPr>
    </w:p>
    <w:p w14:paraId="5A7233D9" w14:textId="77777777" w:rsidR="00A36F75" w:rsidRDefault="00A36F75">
      <w:pPr>
        <w:rPr>
          <w:rFonts w:ascii="Aptos" w:eastAsia="Aptos" w:hAnsi="Aptos" w:cs="Aptos"/>
          <w:color w:val="000000" w:themeColor="text1"/>
        </w:rPr>
      </w:pPr>
      <w:r>
        <w:rPr>
          <w:rFonts w:ascii="Aptos" w:eastAsia="Aptos" w:hAnsi="Aptos" w:cs="Aptos"/>
          <w:color w:val="000000" w:themeColor="text1"/>
        </w:rPr>
        <w:br w:type="page"/>
      </w:r>
    </w:p>
    <w:tbl>
      <w:tblPr>
        <w:tblStyle w:val="TableGrid"/>
        <w:tblW w:w="0" w:type="auto"/>
        <w:tblLayout w:type="fixed"/>
        <w:tblLook w:val="06A0" w:firstRow="1" w:lastRow="0" w:firstColumn="1" w:lastColumn="0" w:noHBand="1" w:noVBand="1"/>
      </w:tblPr>
      <w:tblGrid>
        <w:gridCol w:w="4508"/>
        <w:gridCol w:w="4508"/>
      </w:tblGrid>
      <w:tr w:rsidR="00A36F75" w14:paraId="517388EE" w14:textId="77777777" w:rsidTr="009E54B9">
        <w:trPr>
          <w:trHeight w:val="300"/>
        </w:trPr>
        <w:tc>
          <w:tcPr>
            <w:tcW w:w="4508" w:type="dxa"/>
            <w:shd w:val="clear" w:color="auto" w:fill="D9D9D9" w:themeFill="background1" w:themeFillShade="D9"/>
          </w:tcPr>
          <w:p w14:paraId="64342856" w14:textId="77777777" w:rsidR="00A36F75" w:rsidRDefault="00A36F75">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3FFC69CC" w14:textId="77777777" w:rsidR="00A36F75" w:rsidRDefault="00A36F75">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00A36F75" w14:paraId="0288DCE3" w14:textId="77777777">
        <w:trPr>
          <w:trHeight w:val="300"/>
        </w:trPr>
        <w:tc>
          <w:tcPr>
            <w:tcW w:w="4508" w:type="dxa"/>
          </w:tcPr>
          <w:p w14:paraId="35BEDFAB" w14:textId="77777777" w:rsidR="00A36F75" w:rsidRDefault="00A36F75">
            <w:pPr>
              <w:rPr>
                <w:rFonts w:ascii="Aptos" w:eastAsia="Aptos" w:hAnsi="Aptos" w:cs="Aptos"/>
                <w:color w:val="000000" w:themeColor="text1"/>
              </w:rPr>
            </w:pPr>
            <w:r w:rsidRPr="582284F0">
              <w:rPr>
                <w:rFonts w:ascii="Aptos" w:eastAsia="Aptos" w:hAnsi="Aptos" w:cs="Aptos"/>
                <w:color w:val="FF0000"/>
              </w:rPr>
              <w:t xml:space="preserve">11a </w:t>
            </w:r>
            <w:r w:rsidRPr="582284F0">
              <w:rPr>
                <w:rFonts w:ascii="Aptos" w:eastAsia="Aptos" w:hAnsi="Aptos" w:cs="Aptos"/>
                <w:color w:val="000000" w:themeColor="text1"/>
              </w:rPr>
              <w:t>To what extent do you agree that introducing a 30-day time limit on the ability for businesses to dispute invoices will be effective in addressing the stated problem of the deliberate disputing of invoices to extend payment times?</w:t>
            </w:r>
          </w:p>
          <w:p w14:paraId="76976594" w14:textId="77777777" w:rsidR="00A36F75" w:rsidRDefault="00A36F75">
            <w:pPr>
              <w:rPr>
                <w:rFonts w:ascii="Aptos" w:eastAsia="Aptos" w:hAnsi="Aptos" w:cs="Aptos"/>
                <w:color w:val="000000" w:themeColor="text1"/>
              </w:rPr>
            </w:pPr>
          </w:p>
        </w:tc>
        <w:tc>
          <w:tcPr>
            <w:tcW w:w="4508" w:type="dxa"/>
          </w:tcPr>
          <w:p w14:paraId="2920E364" w14:textId="77777777" w:rsidR="00A36F75" w:rsidRDefault="00A36F75">
            <w:pPr>
              <w:rPr>
                <w:rFonts w:ascii="Aptos" w:eastAsia="Aptos" w:hAnsi="Aptos" w:cs="Aptos"/>
                <w:color w:val="000000" w:themeColor="text1"/>
              </w:rPr>
            </w:pPr>
            <w:r w:rsidRPr="582284F0">
              <w:rPr>
                <w:rFonts w:ascii="Aptos" w:eastAsia="Aptos" w:hAnsi="Aptos" w:cs="Aptos"/>
                <w:color w:val="000000" w:themeColor="text1"/>
              </w:rPr>
              <w:t>Strongly agree</w:t>
            </w:r>
          </w:p>
          <w:p w14:paraId="6DC03A48" w14:textId="77777777" w:rsidR="00A36F75" w:rsidRDefault="00A36F75">
            <w:pPr>
              <w:rPr>
                <w:rFonts w:ascii="Aptos" w:eastAsia="Aptos" w:hAnsi="Aptos" w:cs="Aptos"/>
                <w:color w:val="000000" w:themeColor="text1"/>
              </w:rPr>
            </w:pPr>
          </w:p>
        </w:tc>
      </w:tr>
      <w:tr w:rsidR="582284F0" w14:paraId="2A414ECE" w14:textId="77777777" w:rsidTr="582284F0">
        <w:trPr>
          <w:trHeight w:val="300"/>
        </w:trPr>
        <w:tc>
          <w:tcPr>
            <w:tcW w:w="4508" w:type="dxa"/>
          </w:tcPr>
          <w:p w14:paraId="798370F3" w14:textId="6C2FCF4F" w:rsidR="2BDB3B8F" w:rsidRDefault="2BDB3B8F" w:rsidP="582284F0">
            <w:pPr>
              <w:rPr>
                <w:rFonts w:ascii="Aptos" w:eastAsia="Aptos" w:hAnsi="Aptos" w:cs="Aptos"/>
                <w:color w:val="000000" w:themeColor="text1"/>
              </w:rPr>
            </w:pPr>
            <w:r w:rsidRPr="582284F0">
              <w:rPr>
                <w:rFonts w:ascii="Aptos" w:eastAsia="Aptos" w:hAnsi="Aptos" w:cs="Aptos"/>
                <w:color w:val="FF0000"/>
              </w:rPr>
              <w:t xml:space="preserve">11b </w:t>
            </w:r>
            <w:r w:rsidRPr="582284F0">
              <w:rPr>
                <w:rFonts w:ascii="Aptos" w:eastAsia="Aptos" w:hAnsi="Aptos" w:cs="Aptos"/>
                <w:color w:val="000000" w:themeColor="text1"/>
              </w:rPr>
              <w:t>Please explain the reasons for your answer to 11a</w:t>
            </w:r>
          </w:p>
          <w:p w14:paraId="0DED15E3" w14:textId="0E9F7CEB" w:rsidR="582284F0" w:rsidRDefault="582284F0" w:rsidP="582284F0">
            <w:pPr>
              <w:rPr>
                <w:rFonts w:ascii="Aptos" w:eastAsia="Aptos" w:hAnsi="Aptos" w:cs="Aptos"/>
                <w:color w:val="000000" w:themeColor="text1"/>
              </w:rPr>
            </w:pPr>
          </w:p>
        </w:tc>
        <w:tc>
          <w:tcPr>
            <w:tcW w:w="4508" w:type="dxa"/>
          </w:tcPr>
          <w:p w14:paraId="0D2A9800" w14:textId="0A86514E"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Within the construction sector, the Housing Grants, Construction and Regeneration Act 1996 sets out payment process milestones: when payment is due, when notices may be issued, and when the final payment must be made.</w:t>
            </w:r>
          </w:p>
          <w:p w14:paraId="5AAFDCBB" w14:textId="7B3DF04E"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Due to Construction Industry Scheme tax rules and VAT domestic reverse charge rules, construction businesses typically submit an application for payment before issuing a formal invoice that matches the confirmed payment figure. Statutory guidance on the payment reporting regs outlines that, where general payment laws refer to ‘invoices’ in construction, this should be treated as the application for payment, the point when the client first knows how much they owe. The payer is given two opportunities to dispute the amount before the final payment date, but they must pay whatever figure is confirmed in their last notice. So, while the law already limits how a client can dispute payments, it doesn’t limit how long the whole process can take, opening the doors to exploitation. If parties cannot agree on timescales, the law’s fallback is 17 days, however, in practice there is no limit and it is often extended for lengthy delays, sometimes up to 120 days, depending on what some clients believe they can get away with. This is grossly unfair, wastes time, increases risk, and stifles the ability of UK construction SMEs to help the government meet its ambitious housing, retrofit, and infrastructure targets.</w:t>
            </w:r>
          </w:p>
          <w:p w14:paraId="3DB91157" w14:textId="06CDE8DB" w:rsidR="582284F0" w:rsidRDefault="2BDB3B8F" w:rsidP="582284F0">
            <w:pPr>
              <w:rPr>
                <w:rFonts w:ascii="Aptos" w:eastAsia="Aptos" w:hAnsi="Aptos" w:cs="Aptos"/>
                <w:color w:val="000000" w:themeColor="text1"/>
              </w:rPr>
            </w:pPr>
            <w:r w:rsidRPr="582284F0">
              <w:rPr>
                <w:rFonts w:ascii="Aptos" w:eastAsia="Aptos" w:hAnsi="Aptos" w:cs="Aptos"/>
                <w:color w:val="000000" w:themeColor="text1"/>
              </w:rPr>
              <w:t>For the above reasons, a 30-day time limit on the process for disputing applications under the Housing Grants, Construction and Regeneration Act is essential.</w:t>
            </w:r>
          </w:p>
        </w:tc>
      </w:tr>
      <w:tr w:rsidR="007E5FA3" w14:paraId="70F0E8B0" w14:textId="77777777" w:rsidTr="009E54B9">
        <w:trPr>
          <w:trHeight w:val="300"/>
        </w:trPr>
        <w:tc>
          <w:tcPr>
            <w:tcW w:w="4508" w:type="dxa"/>
            <w:shd w:val="clear" w:color="auto" w:fill="D9D9D9" w:themeFill="background1" w:themeFillShade="D9"/>
          </w:tcPr>
          <w:p w14:paraId="01384297" w14:textId="77777777" w:rsidR="007E5FA3" w:rsidRDefault="007E5FA3">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665F4BEE" w14:textId="77777777" w:rsidR="007E5FA3" w:rsidRDefault="007E5FA3">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1CA46097" w14:textId="77777777" w:rsidTr="582284F0">
        <w:trPr>
          <w:trHeight w:val="300"/>
        </w:trPr>
        <w:tc>
          <w:tcPr>
            <w:tcW w:w="4508" w:type="dxa"/>
          </w:tcPr>
          <w:p w14:paraId="28BC3259" w14:textId="70ECA233" w:rsidR="2BDB3B8F" w:rsidRDefault="2BDB3B8F" w:rsidP="582284F0">
            <w:pPr>
              <w:rPr>
                <w:rFonts w:ascii="Aptos" w:eastAsia="Aptos" w:hAnsi="Aptos" w:cs="Aptos"/>
                <w:color w:val="000000" w:themeColor="text1"/>
              </w:rPr>
            </w:pPr>
            <w:r w:rsidRPr="582284F0">
              <w:rPr>
                <w:rFonts w:ascii="Aptos" w:eastAsia="Aptos" w:hAnsi="Aptos" w:cs="Aptos"/>
                <w:color w:val="FF0000"/>
              </w:rPr>
              <w:t xml:space="preserve">11c </w:t>
            </w:r>
            <w:r w:rsidRPr="582284F0">
              <w:rPr>
                <w:rFonts w:ascii="Aptos" w:eastAsia="Aptos" w:hAnsi="Aptos" w:cs="Aptos"/>
                <w:color w:val="000000" w:themeColor="text1"/>
              </w:rPr>
              <w:t>Are there any potential unintended consequences or considerations that should be taken into account for the introduction of this measure?</w:t>
            </w:r>
          </w:p>
          <w:p w14:paraId="355A0F36" w14:textId="65AC9361" w:rsidR="582284F0" w:rsidRDefault="582284F0" w:rsidP="582284F0">
            <w:pPr>
              <w:rPr>
                <w:rFonts w:ascii="Aptos" w:eastAsia="Aptos" w:hAnsi="Aptos" w:cs="Aptos"/>
                <w:color w:val="FF0000"/>
              </w:rPr>
            </w:pPr>
          </w:p>
        </w:tc>
        <w:tc>
          <w:tcPr>
            <w:tcW w:w="4508" w:type="dxa"/>
          </w:tcPr>
          <w:p w14:paraId="63E782B5" w14:textId="7B0787BF"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No.</w:t>
            </w:r>
          </w:p>
        </w:tc>
      </w:tr>
      <w:tr w:rsidR="582284F0" w14:paraId="59FFD66C" w14:textId="77777777" w:rsidTr="582284F0">
        <w:trPr>
          <w:trHeight w:val="300"/>
        </w:trPr>
        <w:tc>
          <w:tcPr>
            <w:tcW w:w="4508" w:type="dxa"/>
          </w:tcPr>
          <w:p w14:paraId="09A47EF1" w14:textId="15799DFD" w:rsidR="2BDB3B8F" w:rsidRDefault="2BDB3B8F" w:rsidP="582284F0">
            <w:pPr>
              <w:rPr>
                <w:rFonts w:ascii="Aptos" w:eastAsia="Aptos" w:hAnsi="Aptos" w:cs="Aptos"/>
                <w:color w:val="000000" w:themeColor="text1"/>
              </w:rPr>
            </w:pPr>
            <w:r w:rsidRPr="582284F0">
              <w:rPr>
                <w:rFonts w:ascii="Aptos" w:eastAsia="Aptos" w:hAnsi="Aptos" w:cs="Aptos"/>
                <w:color w:val="FF0000"/>
              </w:rPr>
              <w:t>11d</w:t>
            </w:r>
            <w:r w:rsidRPr="582284F0">
              <w:rPr>
                <w:rFonts w:ascii="Aptos" w:eastAsia="Aptos" w:hAnsi="Aptos" w:cs="Aptos"/>
                <w:color w:val="000000" w:themeColor="text1"/>
              </w:rPr>
              <w:t xml:space="preserve"> Please explain the reasons for your answer to question 11c.</w:t>
            </w:r>
          </w:p>
          <w:p w14:paraId="7C6F6114" w14:textId="6F16B385" w:rsidR="582284F0" w:rsidRDefault="582284F0" w:rsidP="582284F0">
            <w:pPr>
              <w:rPr>
                <w:rFonts w:ascii="Aptos" w:eastAsia="Aptos" w:hAnsi="Aptos" w:cs="Aptos"/>
                <w:color w:val="FF0000"/>
              </w:rPr>
            </w:pPr>
          </w:p>
        </w:tc>
        <w:tc>
          <w:tcPr>
            <w:tcW w:w="4508" w:type="dxa"/>
          </w:tcPr>
          <w:p w14:paraId="430099E7" w14:textId="263D7CD6" w:rsidR="2BDB3B8F" w:rsidRDefault="2BDB3B8F" w:rsidP="582284F0">
            <w:pPr>
              <w:rPr>
                <w:rFonts w:ascii="Aptos" w:eastAsia="Aptos" w:hAnsi="Aptos" w:cs="Aptos"/>
                <w:color w:val="000000" w:themeColor="text1"/>
              </w:rPr>
            </w:pPr>
            <w:r w:rsidRPr="582284F0">
              <w:rPr>
                <w:rFonts w:ascii="Aptos" w:eastAsia="Aptos" w:hAnsi="Aptos" w:cs="Aptos"/>
                <w:color w:val="000000" w:themeColor="text1"/>
              </w:rPr>
              <w:t>N/A.</w:t>
            </w:r>
          </w:p>
        </w:tc>
      </w:tr>
      <w:tr w:rsidR="582284F0" w14:paraId="3B000279" w14:textId="77777777" w:rsidTr="582284F0">
        <w:trPr>
          <w:trHeight w:val="300"/>
        </w:trPr>
        <w:tc>
          <w:tcPr>
            <w:tcW w:w="4508" w:type="dxa"/>
          </w:tcPr>
          <w:p w14:paraId="23DAB063" w14:textId="1DF420AB" w:rsidR="4136EE86" w:rsidRDefault="4136EE86" w:rsidP="582284F0">
            <w:pPr>
              <w:rPr>
                <w:rFonts w:ascii="Aptos" w:eastAsia="Aptos" w:hAnsi="Aptos" w:cs="Aptos"/>
                <w:color w:val="000000" w:themeColor="text1"/>
              </w:rPr>
            </w:pPr>
            <w:r w:rsidRPr="582284F0">
              <w:rPr>
                <w:rFonts w:ascii="Aptos" w:eastAsia="Aptos" w:hAnsi="Aptos" w:cs="Aptos"/>
                <w:color w:val="FF0000"/>
              </w:rPr>
              <w:t xml:space="preserve">11e </w:t>
            </w:r>
            <w:r w:rsidRPr="582284F0">
              <w:rPr>
                <w:rFonts w:ascii="Aptos" w:eastAsia="Aptos" w:hAnsi="Aptos" w:cs="Aptos"/>
                <w:color w:val="000000" w:themeColor="text1"/>
              </w:rPr>
              <w:t>Are there more effective ways the Government could prevent frivolous disputing of invoices?</w:t>
            </w:r>
          </w:p>
          <w:p w14:paraId="1277423B" w14:textId="34F0BB9C" w:rsidR="582284F0" w:rsidRDefault="582284F0" w:rsidP="582284F0">
            <w:pPr>
              <w:rPr>
                <w:rFonts w:ascii="Aptos" w:eastAsia="Aptos" w:hAnsi="Aptos" w:cs="Aptos"/>
                <w:color w:val="000000" w:themeColor="text1"/>
              </w:rPr>
            </w:pPr>
          </w:p>
        </w:tc>
        <w:tc>
          <w:tcPr>
            <w:tcW w:w="4508" w:type="dxa"/>
          </w:tcPr>
          <w:p w14:paraId="194FD800" w14:textId="215243F1"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xml:space="preserve">A combination of: </w:t>
            </w:r>
          </w:p>
          <w:p w14:paraId="0EE9132F" w14:textId="43DAA1C8"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xml:space="preserve">- a 60-day maximum on all payments, </w:t>
            </w:r>
          </w:p>
          <w:p w14:paraId="37CC14D9" w14:textId="485DC651"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xml:space="preserve">- mandatory interest on late payment at a significant punitive rate, </w:t>
            </w:r>
          </w:p>
          <w:p w14:paraId="10EAA7D5" w14:textId="35E5D0D8"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accounting for interest on late payments,</w:t>
            </w:r>
          </w:p>
          <w:p w14:paraId="25AF03A1" w14:textId="132F56B6"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fining businesses who repeatedly pay late,</w:t>
            </w:r>
          </w:p>
          <w:p w14:paraId="72936AC4" w14:textId="7D2A0556"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 a long-stop period to dispute invoices.</w:t>
            </w:r>
          </w:p>
          <w:p w14:paraId="674B3A02" w14:textId="61777ABC" w:rsidR="582284F0" w:rsidRDefault="582284F0" w:rsidP="582284F0">
            <w:pPr>
              <w:ind w:left="720"/>
              <w:rPr>
                <w:rFonts w:ascii="Aptos" w:eastAsia="Aptos" w:hAnsi="Aptos" w:cs="Aptos"/>
                <w:color w:val="000000" w:themeColor="text1"/>
              </w:rPr>
            </w:pPr>
          </w:p>
          <w:p w14:paraId="7624B8AC" w14:textId="5CBE00F5" w:rsidR="4136EE86" w:rsidRDefault="4136EE86" w:rsidP="582284F0">
            <w:pPr>
              <w:rPr>
                <w:rFonts w:ascii="Aptos" w:eastAsia="Aptos" w:hAnsi="Aptos" w:cs="Aptos"/>
                <w:color w:val="000000" w:themeColor="text1"/>
              </w:rPr>
            </w:pPr>
            <w:r w:rsidRPr="582284F0">
              <w:rPr>
                <w:rFonts w:ascii="Aptos" w:eastAsia="Aptos" w:hAnsi="Aptos" w:cs="Aptos"/>
                <w:color w:val="000000" w:themeColor="text1"/>
              </w:rPr>
              <w:t>These measures would go some way to preventing the exploitation of payment systems which currently disadvantages specialist construction businesses.</w:t>
            </w:r>
          </w:p>
          <w:p w14:paraId="78F77AF8" w14:textId="2178FDE4" w:rsidR="582284F0" w:rsidRDefault="582284F0" w:rsidP="582284F0">
            <w:pPr>
              <w:rPr>
                <w:rFonts w:ascii="Aptos" w:eastAsia="Aptos" w:hAnsi="Aptos" w:cs="Aptos"/>
                <w:color w:val="000000" w:themeColor="text1"/>
              </w:rPr>
            </w:pPr>
          </w:p>
        </w:tc>
      </w:tr>
    </w:tbl>
    <w:p w14:paraId="779798E6" w14:textId="03D60CDB" w:rsidR="00DC52A8" w:rsidRDefault="00DC52A8" w:rsidP="0676D472">
      <w:pPr>
        <w:spacing w:after="0"/>
        <w:ind w:left="720"/>
        <w:rPr>
          <w:rFonts w:ascii="Aptos" w:eastAsia="Aptos" w:hAnsi="Aptos" w:cs="Aptos"/>
          <w:color w:val="000000" w:themeColor="text1"/>
        </w:rPr>
      </w:pPr>
    </w:p>
    <w:p w14:paraId="35AC9002" w14:textId="77777777" w:rsidR="00DC52A8" w:rsidRDefault="00DC52A8">
      <w:pPr>
        <w:rPr>
          <w:rFonts w:ascii="Aptos" w:eastAsia="Aptos" w:hAnsi="Aptos" w:cs="Aptos"/>
          <w:color w:val="000000" w:themeColor="text1"/>
        </w:rPr>
      </w:pPr>
      <w:r>
        <w:rPr>
          <w:rFonts w:ascii="Aptos" w:eastAsia="Aptos" w:hAnsi="Aptos" w:cs="Aptos"/>
          <w:color w:val="000000" w:themeColor="text1"/>
        </w:rPr>
        <w:br w:type="page"/>
      </w:r>
    </w:p>
    <w:tbl>
      <w:tblPr>
        <w:tblStyle w:val="TableGrid"/>
        <w:tblW w:w="0" w:type="auto"/>
        <w:tblLayout w:type="fixed"/>
        <w:tblLook w:val="06A0" w:firstRow="1" w:lastRow="0" w:firstColumn="1" w:lastColumn="0" w:noHBand="1" w:noVBand="1"/>
      </w:tblPr>
      <w:tblGrid>
        <w:gridCol w:w="4508"/>
        <w:gridCol w:w="4508"/>
      </w:tblGrid>
      <w:tr w:rsidR="00DC52A8" w14:paraId="05EBE477" w14:textId="77777777" w:rsidTr="009E54B9">
        <w:trPr>
          <w:trHeight w:val="300"/>
        </w:trPr>
        <w:tc>
          <w:tcPr>
            <w:tcW w:w="4508" w:type="dxa"/>
            <w:shd w:val="clear" w:color="auto" w:fill="D9D9D9" w:themeFill="background1" w:themeFillShade="D9"/>
          </w:tcPr>
          <w:p w14:paraId="76D8E605"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79FD4FD0"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00DC52A8" w14:paraId="086EBA33" w14:textId="77777777" w:rsidTr="582284F0">
        <w:trPr>
          <w:trHeight w:val="300"/>
        </w:trPr>
        <w:tc>
          <w:tcPr>
            <w:tcW w:w="4508" w:type="dxa"/>
          </w:tcPr>
          <w:p w14:paraId="1C2781D4" w14:textId="77777777" w:rsidR="00DC52A8" w:rsidRDefault="00DC52A8" w:rsidP="00DC52A8">
            <w:pPr>
              <w:rPr>
                <w:rFonts w:ascii="Aptos" w:eastAsia="Aptos" w:hAnsi="Aptos" w:cs="Aptos"/>
                <w:color w:val="000000" w:themeColor="text1"/>
              </w:rPr>
            </w:pPr>
            <w:r w:rsidRPr="582284F0">
              <w:rPr>
                <w:rFonts w:ascii="Aptos" w:eastAsia="Aptos" w:hAnsi="Aptos" w:cs="Aptos"/>
                <w:color w:val="FF0000"/>
              </w:rPr>
              <w:t xml:space="preserve">12a </w:t>
            </w:r>
            <w:r w:rsidRPr="582284F0">
              <w:rPr>
                <w:rFonts w:ascii="Aptos" w:eastAsia="Aptos" w:hAnsi="Aptos" w:cs="Aptos"/>
                <w:color w:val="000000" w:themeColor="text1"/>
              </w:rPr>
              <w:t>To what extent do you agree that all qualifying contracts being subject to mandatory statutory interest on their late payments without exception will address the stated problem and help incentivise paying on time?</w:t>
            </w:r>
          </w:p>
          <w:p w14:paraId="28042F32" w14:textId="77777777" w:rsidR="00DC52A8" w:rsidRPr="582284F0" w:rsidRDefault="00DC52A8" w:rsidP="582284F0">
            <w:pPr>
              <w:rPr>
                <w:rFonts w:ascii="Aptos" w:eastAsia="Aptos" w:hAnsi="Aptos" w:cs="Aptos"/>
                <w:color w:val="FF0000"/>
              </w:rPr>
            </w:pPr>
          </w:p>
        </w:tc>
        <w:tc>
          <w:tcPr>
            <w:tcW w:w="4508" w:type="dxa"/>
          </w:tcPr>
          <w:p w14:paraId="439363F6" w14:textId="424C6E1B" w:rsidR="00DC52A8" w:rsidRPr="582284F0" w:rsidRDefault="00DC52A8"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00DC52A8" w14:paraId="58795035" w14:textId="77777777" w:rsidTr="582284F0">
        <w:trPr>
          <w:trHeight w:val="300"/>
        </w:trPr>
        <w:tc>
          <w:tcPr>
            <w:tcW w:w="4508" w:type="dxa"/>
          </w:tcPr>
          <w:p w14:paraId="4BA253A7" w14:textId="77777777" w:rsidR="00DC52A8" w:rsidRDefault="00DC52A8" w:rsidP="00DC52A8">
            <w:pPr>
              <w:rPr>
                <w:rFonts w:ascii="Aptos" w:eastAsia="Aptos" w:hAnsi="Aptos" w:cs="Aptos"/>
                <w:color w:val="000000" w:themeColor="text1"/>
              </w:rPr>
            </w:pPr>
            <w:r w:rsidRPr="582284F0">
              <w:rPr>
                <w:rFonts w:ascii="Aptos" w:eastAsia="Aptos" w:hAnsi="Aptos" w:cs="Aptos"/>
                <w:color w:val="FF0000"/>
              </w:rPr>
              <w:t>12b</w:t>
            </w:r>
            <w:r w:rsidRPr="582284F0">
              <w:rPr>
                <w:rFonts w:ascii="Aptos" w:eastAsia="Aptos" w:hAnsi="Aptos" w:cs="Aptos"/>
                <w:color w:val="000000" w:themeColor="text1"/>
              </w:rPr>
              <w:t xml:space="preserve"> Please explain the reasons for your answer to question 12a</w:t>
            </w:r>
          </w:p>
          <w:p w14:paraId="73CE513A" w14:textId="77777777" w:rsidR="00DC52A8" w:rsidRPr="582284F0" w:rsidRDefault="00DC52A8" w:rsidP="00DC52A8">
            <w:pPr>
              <w:rPr>
                <w:rFonts w:ascii="Aptos" w:eastAsia="Aptos" w:hAnsi="Aptos" w:cs="Aptos"/>
                <w:color w:val="FF0000"/>
              </w:rPr>
            </w:pPr>
          </w:p>
        </w:tc>
        <w:tc>
          <w:tcPr>
            <w:tcW w:w="4508" w:type="dxa"/>
          </w:tcPr>
          <w:p w14:paraId="38055DDE" w14:textId="77777777"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 xml:space="preserve">Currently, during the contract negotiation period within construction, some clients regularly lower or remove the right to claim statutory interest on late payments. SME contractors often feel obliged to accept these terms for fear of losing work, or they are otherwise overwhelmed by other excessive changes to standard form contracts to notice and understand the change. </w:t>
            </w:r>
          </w:p>
          <w:p w14:paraId="40EEDB0D" w14:textId="77777777"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 xml:space="preserve">This ability to undermine the statutory requirement makes it effectively meaningless. Removing the ability of negotiating parties to vaguely agree ‘some other substantial remedy’ to the rate of statutory interest set by the Secretary of State would help ensure there are meaningful consequences to late payment. </w:t>
            </w:r>
          </w:p>
          <w:p w14:paraId="26564D8D" w14:textId="77777777"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For too long, clients and large contractors within construction have been incentivised to sit on late payment for interest gains, capital, and liquidity, passing risk through their supply chain to smaller companies. This will help change that.</w:t>
            </w:r>
          </w:p>
          <w:p w14:paraId="4D0F2132" w14:textId="77777777" w:rsidR="00DC52A8" w:rsidRPr="582284F0" w:rsidRDefault="00DC52A8" w:rsidP="00DC52A8">
            <w:pPr>
              <w:rPr>
                <w:rFonts w:ascii="Aptos" w:eastAsia="Aptos" w:hAnsi="Aptos" w:cs="Aptos"/>
                <w:color w:val="000000" w:themeColor="text1"/>
              </w:rPr>
            </w:pPr>
          </w:p>
        </w:tc>
      </w:tr>
      <w:tr w:rsidR="00DC52A8" w14:paraId="69A25008" w14:textId="77777777" w:rsidTr="582284F0">
        <w:trPr>
          <w:trHeight w:val="300"/>
        </w:trPr>
        <w:tc>
          <w:tcPr>
            <w:tcW w:w="4508" w:type="dxa"/>
          </w:tcPr>
          <w:p w14:paraId="08C4C1C8" w14:textId="61A4E3D9" w:rsidR="00DC52A8" w:rsidRDefault="00DC52A8" w:rsidP="00DC52A8">
            <w:pPr>
              <w:rPr>
                <w:rFonts w:ascii="Aptos" w:eastAsia="Aptos" w:hAnsi="Aptos" w:cs="Aptos"/>
                <w:color w:val="000000" w:themeColor="text1"/>
              </w:rPr>
            </w:pPr>
            <w:r w:rsidRPr="582284F0">
              <w:rPr>
                <w:rFonts w:ascii="Aptos" w:eastAsia="Aptos" w:hAnsi="Aptos" w:cs="Aptos"/>
                <w:color w:val="FF0000"/>
              </w:rPr>
              <w:t>12c</w:t>
            </w:r>
            <w:r w:rsidRPr="582284F0">
              <w:rPr>
                <w:rFonts w:ascii="Aptos" w:eastAsia="Aptos" w:hAnsi="Aptos" w:cs="Aptos"/>
                <w:color w:val="000000" w:themeColor="text1"/>
              </w:rPr>
              <w:t xml:space="preserve"> Are there any potential unintended consequences or considerations that should be taken into account for the introduction of this measure?</w:t>
            </w:r>
          </w:p>
        </w:tc>
        <w:tc>
          <w:tcPr>
            <w:tcW w:w="4508" w:type="dxa"/>
          </w:tcPr>
          <w:p w14:paraId="428B1CA1" w14:textId="5B59A611"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No.</w:t>
            </w:r>
          </w:p>
        </w:tc>
      </w:tr>
      <w:tr w:rsidR="00DC52A8" w14:paraId="4237F853" w14:textId="77777777" w:rsidTr="582284F0">
        <w:trPr>
          <w:trHeight w:val="300"/>
        </w:trPr>
        <w:tc>
          <w:tcPr>
            <w:tcW w:w="4508" w:type="dxa"/>
          </w:tcPr>
          <w:p w14:paraId="02C9D13D" w14:textId="1A06EE62" w:rsidR="00DC52A8" w:rsidRDefault="00DC52A8" w:rsidP="00DC52A8">
            <w:pPr>
              <w:rPr>
                <w:rFonts w:ascii="Aptos" w:eastAsia="Aptos" w:hAnsi="Aptos" w:cs="Aptos"/>
                <w:color w:val="000000" w:themeColor="text1"/>
              </w:rPr>
            </w:pPr>
            <w:r w:rsidRPr="582284F0">
              <w:rPr>
                <w:rFonts w:ascii="Aptos" w:eastAsia="Aptos" w:hAnsi="Aptos" w:cs="Aptos"/>
                <w:color w:val="FF0000"/>
              </w:rPr>
              <w:t xml:space="preserve">12d </w:t>
            </w:r>
            <w:r w:rsidRPr="582284F0">
              <w:rPr>
                <w:rFonts w:ascii="Aptos" w:eastAsia="Aptos" w:hAnsi="Aptos" w:cs="Aptos"/>
                <w:color w:val="000000" w:themeColor="text1"/>
              </w:rPr>
              <w:t>Please explain the reasons for your answer to question 12c.</w:t>
            </w:r>
          </w:p>
        </w:tc>
        <w:tc>
          <w:tcPr>
            <w:tcW w:w="4508" w:type="dxa"/>
          </w:tcPr>
          <w:p w14:paraId="4067F047" w14:textId="38B1D9A7"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N/A</w:t>
            </w:r>
          </w:p>
        </w:tc>
      </w:tr>
    </w:tbl>
    <w:p w14:paraId="4E658D23"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5D5395BF" w14:textId="77777777" w:rsidTr="009E54B9">
        <w:trPr>
          <w:trHeight w:val="300"/>
        </w:trPr>
        <w:tc>
          <w:tcPr>
            <w:tcW w:w="4508" w:type="dxa"/>
            <w:shd w:val="clear" w:color="auto" w:fill="D9D9D9" w:themeFill="background1" w:themeFillShade="D9"/>
          </w:tcPr>
          <w:p w14:paraId="6E33DCCB"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56AA4630"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00DC52A8" w14:paraId="35A4213C" w14:textId="77777777" w:rsidTr="582284F0">
        <w:trPr>
          <w:trHeight w:val="300"/>
        </w:trPr>
        <w:tc>
          <w:tcPr>
            <w:tcW w:w="4508" w:type="dxa"/>
          </w:tcPr>
          <w:p w14:paraId="73CE8A62" w14:textId="008C6CDB" w:rsidR="00DC52A8" w:rsidRDefault="00DC52A8" w:rsidP="00DC52A8">
            <w:pPr>
              <w:rPr>
                <w:rFonts w:ascii="Aptos" w:eastAsia="Aptos" w:hAnsi="Aptos" w:cs="Aptos"/>
                <w:color w:val="000000" w:themeColor="text1"/>
              </w:rPr>
            </w:pPr>
            <w:r w:rsidRPr="582284F0">
              <w:rPr>
                <w:rFonts w:ascii="Aptos" w:eastAsia="Aptos" w:hAnsi="Aptos" w:cs="Aptos"/>
                <w:color w:val="FF0000"/>
              </w:rPr>
              <w:t>13a</w:t>
            </w:r>
            <w:r w:rsidRPr="582284F0">
              <w:rPr>
                <w:rFonts w:ascii="Aptos" w:eastAsia="Aptos" w:hAnsi="Aptos" w:cs="Aptos"/>
                <w:color w:val="000000" w:themeColor="text1"/>
              </w:rPr>
              <w:t xml:space="preserve"> To what extent do you agree that requiring businesses that report under the Reporting on Payment Practices and Performance Regulations 2017 to report how much interest they owe and pay to their suppliers as a result of late payments will help incentivise reporting businesses to improve their payment practices?</w:t>
            </w:r>
          </w:p>
        </w:tc>
        <w:tc>
          <w:tcPr>
            <w:tcW w:w="4508" w:type="dxa"/>
          </w:tcPr>
          <w:p w14:paraId="44FB9E9A" w14:textId="6EFDB00A"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Strongly agree</w:t>
            </w:r>
          </w:p>
          <w:p w14:paraId="6682A6AA" w14:textId="0D931E8D" w:rsidR="00DC52A8" w:rsidRDefault="00DC52A8" w:rsidP="00DC52A8">
            <w:pPr>
              <w:rPr>
                <w:rFonts w:ascii="Aptos" w:eastAsia="Aptos" w:hAnsi="Aptos" w:cs="Aptos"/>
                <w:color w:val="FF0000"/>
              </w:rPr>
            </w:pPr>
          </w:p>
        </w:tc>
      </w:tr>
      <w:tr w:rsidR="00DC52A8" w14:paraId="5EFAF653" w14:textId="77777777" w:rsidTr="582284F0">
        <w:trPr>
          <w:trHeight w:val="300"/>
        </w:trPr>
        <w:tc>
          <w:tcPr>
            <w:tcW w:w="4508" w:type="dxa"/>
          </w:tcPr>
          <w:p w14:paraId="17EC2858" w14:textId="213E7EF4" w:rsidR="00DC52A8" w:rsidRDefault="00DC52A8" w:rsidP="00DC52A8">
            <w:pPr>
              <w:rPr>
                <w:rFonts w:ascii="Aptos" w:eastAsia="Aptos" w:hAnsi="Aptos" w:cs="Aptos"/>
                <w:color w:val="000000" w:themeColor="text1"/>
              </w:rPr>
            </w:pPr>
            <w:r w:rsidRPr="582284F0">
              <w:rPr>
                <w:rFonts w:ascii="Aptos" w:eastAsia="Aptos" w:hAnsi="Aptos" w:cs="Aptos"/>
                <w:color w:val="FF0000"/>
              </w:rPr>
              <w:t>13b</w:t>
            </w:r>
            <w:r w:rsidRPr="582284F0">
              <w:rPr>
                <w:rFonts w:ascii="Aptos" w:eastAsia="Aptos" w:hAnsi="Aptos" w:cs="Aptos"/>
                <w:color w:val="000000" w:themeColor="text1"/>
              </w:rPr>
              <w:t xml:space="preserve"> Please explain the reasons for your answer to question 13a</w:t>
            </w:r>
          </w:p>
          <w:p w14:paraId="2C04E073" w14:textId="4E7A1A70" w:rsidR="00DC52A8" w:rsidRDefault="00DC52A8" w:rsidP="00DC52A8">
            <w:pPr>
              <w:rPr>
                <w:rFonts w:ascii="Aptos" w:eastAsia="Aptos" w:hAnsi="Aptos" w:cs="Aptos"/>
                <w:color w:val="FF0000"/>
              </w:rPr>
            </w:pPr>
          </w:p>
        </w:tc>
        <w:tc>
          <w:tcPr>
            <w:tcW w:w="4508" w:type="dxa"/>
          </w:tcPr>
          <w:p w14:paraId="51740AB9" w14:textId="2BBC87F8"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 xml:space="preserve">Reporting brings essential transparency for improving payment performance. Without transparent reporting or enforcement on interest owed, businesses can and will negotiate settlements which do not include proportionate interest payments. </w:t>
            </w:r>
          </w:p>
          <w:p w14:paraId="7BF57EEC" w14:textId="3CCCDB53"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Legislating the need to pay interest on late payments is not a strong enough deterrent to change commercial behaviour, unless the consequences of non-compliance are clear and enforced, or payment performance is transparent and must be accounted for.</w:t>
            </w:r>
          </w:p>
          <w:p w14:paraId="3AC7B8E1" w14:textId="26646743"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If businesses were able to see information about how much interest a firm owes, as well as how much they pay to their suppliers because of late payment, they would be able to make educated decisions about who they can afford to work with.</w:t>
            </w:r>
          </w:p>
        </w:tc>
      </w:tr>
      <w:tr w:rsidR="00DC52A8" w14:paraId="0B5ECBA4" w14:textId="77777777" w:rsidTr="582284F0">
        <w:trPr>
          <w:trHeight w:val="300"/>
        </w:trPr>
        <w:tc>
          <w:tcPr>
            <w:tcW w:w="4508" w:type="dxa"/>
          </w:tcPr>
          <w:p w14:paraId="4FA1A412" w14:textId="2B45BA38" w:rsidR="00DC52A8" w:rsidRDefault="00DC52A8" w:rsidP="00DC52A8">
            <w:pPr>
              <w:rPr>
                <w:rFonts w:ascii="Aptos" w:eastAsia="Aptos" w:hAnsi="Aptos" w:cs="Aptos"/>
                <w:color w:val="000000" w:themeColor="text1"/>
              </w:rPr>
            </w:pPr>
            <w:r w:rsidRPr="582284F0">
              <w:rPr>
                <w:rFonts w:ascii="Aptos" w:eastAsia="Aptos" w:hAnsi="Aptos" w:cs="Aptos"/>
                <w:color w:val="FF0000"/>
              </w:rPr>
              <w:t>13c</w:t>
            </w:r>
            <w:r w:rsidRPr="582284F0">
              <w:rPr>
                <w:rFonts w:ascii="Aptos" w:eastAsia="Aptos" w:hAnsi="Aptos" w:cs="Aptos"/>
                <w:color w:val="000000" w:themeColor="text1"/>
              </w:rPr>
              <w:t xml:space="preserve"> Are there any potential unintended consequences or considerations that should be taken into account for the introduction of this measure?</w:t>
            </w:r>
          </w:p>
        </w:tc>
        <w:tc>
          <w:tcPr>
            <w:tcW w:w="4508" w:type="dxa"/>
          </w:tcPr>
          <w:p w14:paraId="34527B4F" w14:textId="0C8DD5D2"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No.</w:t>
            </w:r>
          </w:p>
        </w:tc>
      </w:tr>
      <w:tr w:rsidR="00DC52A8" w14:paraId="54545208" w14:textId="77777777" w:rsidTr="582284F0">
        <w:trPr>
          <w:trHeight w:val="300"/>
        </w:trPr>
        <w:tc>
          <w:tcPr>
            <w:tcW w:w="4508" w:type="dxa"/>
          </w:tcPr>
          <w:p w14:paraId="0129BF16" w14:textId="76FACF28" w:rsidR="00DC52A8" w:rsidRDefault="00DC52A8" w:rsidP="00DC52A8">
            <w:pPr>
              <w:rPr>
                <w:rFonts w:ascii="Aptos" w:eastAsia="Aptos" w:hAnsi="Aptos" w:cs="Aptos"/>
                <w:color w:val="000000" w:themeColor="text1"/>
              </w:rPr>
            </w:pPr>
            <w:r w:rsidRPr="582284F0">
              <w:rPr>
                <w:rFonts w:ascii="Aptos" w:eastAsia="Aptos" w:hAnsi="Aptos" w:cs="Aptos"/>
                <w:color w:val="FF0000"/>
              </w:rPr>
              <w:t xml:space="preserve">13d </w:t>
            </w:r>
            <w:r w:rsidRPr="582284F0">
              <w:rPr>
                <w:rFonts w:ascii="Aptos" w:eastAsia="Aptos" w:hAnsi="Aptos" w:cs="Aptos"/>
                <w:color w:val="000000" w:themeColor="text1"/>
              </w:rPr>
              <w:t>Please explain the reasons for your answer to question 13c.</w:t>
            </w:r>
          </w:p>
        </w:tc>
        <w:tc>
          <w:tcPr>
            <w:tcW w:w="4508" w:type="dxa"/>
          </w:tcPr>
          <w:p w14:paraId="0FA7DFFF" w14:textId="360EE3F1" w:rsidR="00DC52A8" w:rsidRDefault="00DC52A8" w:rsidP="00DC52A8">
            <w:pPr>
              <w:rPr>
                <w:rFonts w:ascii="Aptos" w:eastAsia="Aptos" w:hAnsi="Aptos" w:cs="Aptos"/>
                <w:color w:val="000000" w:themeColor="text1"/>
              </w:rPr>
            </w:pPr>
            <w:r w:rsidRPr="582284F0">
              <w:rPr>
                <w:rFonts w:ascii="Aptos" w:eastAsia="Aptos" w:hAnsi="Aptos" w:cs="Aptos"/>
                <w:color w:val="000000" w:themeColor="text1"/>
              </w:rPr>
              <w:t>With the widespread uptake of technology platforms to automate payment reporting, which have the capacity to report on interest owed to suppliers, there will be no significant cost to implementing appropriate reporting. Any costs will be vastly accounted for in immediate gains for the wider supply chain.</w:t>
            </w:r>
          </w:p>
        </w:tc>
      </w:tr>
    </w:tbl>
    <w:p w14:paraId="56AADC91"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2257D14E" w14:textId="77777777" w:rsidTr="009E54B9">
        <w:trPr>
          <w:trHeight w:val="300"/>
        </w:trPr>
        <w:tc>
          <w:tcPr>
            <w:tcW w:w="4508" w:type="dxa"/>
            <w:shd w:val="clear" w:color="auto" w:fill="D9D9D9" w:themeFill="background1" w:themeFillShade="D9"/>
          </w:tcPr>
          <w:p w14:paraId="73DC9B7C"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7145EB11"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6A60EECC" w14:textId="77777777" w:rsidTr="582284F0">
        <w:trPr>
          <w:trHeight w:val="300"/>
        </w:trPr>
        <w:tc>
          <w:tcPr>
            <w:tcW w:w="4508" w:type="dxa"/>
          </w:tcPr>
          <w:p w14:paraId="06AD8E6E" w14:textId="362A9174" w:rsidR="6120867C" w:rsidRDefault="6120867C" w:rsidP="582284F0">
            <w:pPr>
              <w:rPr>
                <w:rFonts w:ascii="Aptos" w:eastAsia="Aptos" w:hAnsi="Aptos" w:cs="Aptos"/>
                <w:color w:val="000000" w:themeColor="text1"/>
              </w:rPr>
            </w:pPr>
            <w:r w:rsidRPr="582284F0">
              <w:rPr>
                <w:rFonts w:ascii="Aptos" w:eastAsia="Aptos" w:hAnsi="Aptos" w:cs="Aptos"/>
                <w:color w:val="FF0000"/>
              </w:rPr>
              <w:t>14a</w:t>
            </w:r>
            <w:r w:rsidRPr="582284F0">
              <w:rPr>
                <w:rFonts w:ascii="Aptos" w:eastAsia="Aptos" w:hAnsi="Aptos" w:cs="Aptos"/>
                <w:color w:val="000000" w:themeColor="text1"/>
              </w:rPr>
              <w:t xml:space="preserve"> To what extent do you agree that introducing financial penalties for large businesses persistently paying their suppliers late will address the stated issue and incentivise reporting businesses to pay on time?</w:t>
            </w:r>
          </w:p>
          <w:p w14:paraId="3A9F614D" w14:textId="799411E5" w:rsidR="582284F0" w:rsidRDefault="582284F0" w:rsidP="582284F0">
            <w:pPr>
              <w:rPr>
                <w:rFonts w:ascii="Aptos" w:eastAsia="Aptos" w:hAnsi="Aptos" w:cs="Aptos"/>
                <w:color w:val="000000" w:themeColor="text1"/>
              </w:rPr>
            </w:pPr>
          </w:p>
        </w:tc>
        <w:tc>
          <w:tcPr>
            <w:tcW w:w="4508" w:type="dxa"/>
          </w:tcPr>
          <w:p w14:paraId="263D4EA9" w14:textId="18BB9ED3"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0A852365" w14:textId="77777777" w:rsidTr="582284F0">
        <w:trPr>
          <w:trHeight w:val="300"/>
        </w:trPr>
        <w:tc>
          <w:tcPr>
            <w:tcW w:w="4508" w:type="dxa"/>
          </w:tcPr>
          <w:p w14:paraId="25667892" w14:textId="4E8BA7C7" w:rsidR="6120867C" w:rsidRDefault="6120867C" w:rsidP="582284F0">
            <w:pPr>
              <w:rPr>
                <w:rFonts w:ascii="Aptos" w:eastAsia="Aptos" w:hAnsi="Aptos" w:cs="Aptos"/>
                <w:color w:val="000000" w:themeColor="text1"/>
              </w:rPr>
            </w:pPr>
            <w:r w:rsidRPr="582284F0">
              <w:rPr>
                <w:rFonts w:ascii="Aptos" w:eastAsia="Aptos" w:hAnsi="Aptos" w:cs="Aptos"/>
                <w:color w:val="FF0000"/>
              </w:rPr>
              <w:t xml:space="preserve">14b </w:t>
            </w:r>
            <w:r w:rsidRPr="582284F0">
              <w:rPr>
                <w:rFonts w:ascii="Aptos" w:eastAsia="Aptos" w:hAnsi="Aptos" w:cs="Aptos"/>
                <w:color w:val="000000" w:themeColor="text1"/>
              </w:rPr>
              <w:t>Please explain the reasons for your answer to question 14a</w:t>
            </w:r>
          </w:p>
          <w:p w14:paraId="2F8AA877" w14:textId="6D30BAB3" w:rsidR="582284F0" w:rsidRDefault="582284F0" w:rsidP="582284F0">
            <w:pPr>
              <w:rPr>
                <w:rFonts w:ascii="Aptos" w:eastAsia="Aptos" w:hAnsi="Aptos" w:cs="Aptos"/>
                <w:color w:val="000000" w:themeColor="text1"/>
              </w:rPr>
            </w:pPr>
          </w:p>
        </w:tc>
        <w:tc>
          <w:tcPr>
            <w:tcW w:w="4508" w:type="dxa"/>
          </w:tcPr>
          <w:p w14:paraId="39BB681A" w14:textId="19F3151A"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Companies that unjustly withhold payment reap benefits in the form of interest, capital, and liquidity, costing the UK economy £11 billion a year and closing 38 businesses a day. It is essential there are consequences for this destructive behaviour.</w:t>
            </w:r>
          </w:p>
          <w:p w14:paraId="307E6717" w14:textId="019594CC"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Fines and fee-for-fault models are already used in the UK with competition, data privacy and health &amp; safety law to ensure the system is self-sustaining and cost neutral as an enforcement system. Similar models can be extended into the payment sphere.</w:t>
            </w:r>
          </w:p>
        </w:tc>
      </w:tr>
      <w:tr w:rsidR="582284F0" w14:paraId="0F737EE0" w14:textId="77777777" w:rsidTr="582284F0">
        <w:trPr>
          <w:trHeight w:val="300"/>
        </w:trPr>
        <w:tc>
          <w:tcPr>
            <w:tcW w:w="4508" w:type="dxa"/>
          </w:tcPr>
          <w:p w14:paraId="2EE52134" w14:textId="34AA83A1" w:rsidR="6120867C" w:rsidRDefault="6120867C" w:rsidP="582284F0">
            <w:pPr>
              <w:rPr>
                <w:rFonts w:ascii="Aptos" w:eastAsia="Aptos" w:hAnsi="Aptos" w:cs="Aptos"/>
                <w:color w:val="000000" w:themeColor="text1"/>
              </w:rPr>
            </w:pPr>
            <w:r w:rsidRPr="582284F0">
              <w:rPr>
                <w:rFonts w:ascii="Aptos" w:eastAsia="Aptos" w:hAnsi="Aptos" w:cs="Aptos"/>
                <w:color w:val="FF0000"/>
              </w:rPr>
              <w:t xml:space="preserve">14c </w:t>
            </w:r>
            <w:r w:rsidRPr="582284F0">
              <w:rPr>
                <w:rFonts w:ascii="Aptos" w:eastAsia="Aptos" w:hAnsi="Aptos" w:cs="Aptos"/>
                <w:color w:val="000000" w:themeColor="text1"/>
              </w:rPr>
              <w:t>Are there any potential unintended consequences or considerations that should be taken into account for the introduction of this measure?</w:t>
            </w:r>
          </w:p>
          <w:p w14:paraId="74B16BD6" w14:textId="122C031D" w:rsidR="582284F0" w:rsidRDefault="582284F0" w:rsidP="582284F0">
            <w:pPr>
              <w:rPr>
                <w:rFonts w:ascii="Aptos" w:eastAsia="Aptos" w:hAnsi="Aptos" w:cs="Aptos"/>
                <w:color w:val="000000" w:themeColor="text1"/>
              </w:rPr>
            </w:pPr>
          </w:p>
        </w:tc>
        <w:tc>
          <w:tcPr>
            <w:tcW w:w="4508" w:type="dxa"/>
          </w:tcPr>
          <w:p w14:paraId="1AE694BD" w14:textId="6E5B8FDE"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No</w:t>
            </w:r>
          </w:p>
        </w:tc>
      </w:tr>
      <w:tr w:rsidR="582284F0" w14:paraId="13A8582D" w14:textId="77777777" w:rsidTr="582284F0">
        <w:trPr>
          <w:trHeight w:val="300"/>
        </w:trPr>
        <w:tc>
          <w:tcPr>
            <w:tcW w:w="4508" w:type="dxa"/>
          </w:tcPr>
          <w:p w14:paraId="55D63A77" w14:textId="24995C21" w:rsidR="6120867C" w:rsidRDefault="6120867C" w:rsidP="582284F0">
            <w:pPr>
              <w:rPr>
                <w:rFonts w:ascii="Aptos" w:eastAsia="Aptos" w:hAnsi="Aptos" w:cs="Aptos"/>
                <w:color w:val="000000" w:themeColor="text1"/>
              </w:rPr>
            </w:pPr>
            <w:r w:rsidRPr="582284F0">
              <w:rPr>
                <w:rFonts w:ascii="Aptos" w:eastAsia="Aptos" w:hAnsi="Aptos" w:cs="Aptos"/>
                <w:color w:val="FF0000"/>
              </w:rPr>
              <w:t>14d</w:t>
            </w:r>
            <w:r w:rsidRPr="582284F0">
              <w:rPr>
                <w:rFonts w:ascii="Aptos" w:eastAsia="Aptos" w:hAnsi="Aptos" w:cs="Aptos"/>
                <w:color w:val="000000" w:themeColor="text1"/>
              </w:rPr>
              <w:t xml:space="preserve"> Please explain the reasons for your answer to question 14c.</w:t>
            </w:r>
          </w:p>
        </w:tc>
        <w:tc>
          <w:tcPr>
            <w:tcW w:w="4508" w:type="dxa"/>
          </w:tcPr>
          <w:p w14:paraId="1CBA17A7" w14:textId="5F886F74"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N/A</w:t>
            </w:r>
          </w:p>
        </w:tc>
      </w:tr>
      <w:tr w:rsidR="582284F0" w14:paraId="0EC133D8" w14:textId="77777777" w:rsidTr="582284F0">
        <w:trPr>
          <w:trHeight w:val="300"/>
        </w:trPr>
        <w:tc>
          <w:tcPr>
            <w:tcW w:w="4508" w:type="dxa"/>
          </w:tcPr>
          <w:p w14:paraId="74E72D5A" w14:textId="0B041579" w:rsidR="6120867C" w:rsidRDefault="6120867C" w:rsidP="582284F0">
            <w:pPr>
              <w:rPr>
                <w:rFonts w:ascii="Aptos" w:eastAsia="Aptos" w:hAnsi="Aptos" w:cs="Aptos"/>
                <w:color w:val="000000" w:themeColor="text1"/>
              </w:rPr>
            </w:pPr>
            <w:r w:rsidRPr="582284F0">
              <w:rPr>
                <w:rFonts w:ascii="Aptos" w:eastAsia="Aptos" w:hAnsi="Aptos" w:cs="Aptos"/>
                <w:color w:val="FF0000"/>
              </w:rPr>
              <w:t>14e</w:t>
            </w:r>
            <w:r w:rsidRPr="582284F0">
              <w:rPr>
                <w:rFonts w:ascii="Aptos" w:eastAsia="Aptos" w:hAnsi="Aptos" w:cs="Aptos"/>
                <w:color w:val="000000" w:themeColor="text1"/>
              </w:rPr>
              <w:t xml:space="preserve"> To what extent do you agree that linking financial penalties for consistently late- paying businesses to their unpaid statutory interest liabilities is a proportionate and effective approach?</w:t>
            </w:r>
          </w:p>
          <w:p w14:paraId="2AC3D5AE" w14:textId="578763FF" w:rsidR="582284F0" w:rsidRDefault="582284F0" w:rsidP="582284F0">
            <w:pPr>
              <w:rPr>
                <w:rFonts w:ascii="Aptos" w:eastAsia="Aptos" w:hAnsi="Aptos" w:cs="Aptos"/>
                <w:color w:val="FF0000"/>
              </w:rPr>
            </w:pPr>
          </w:p>
        </w:tc>
        <w:tc>
          <w:tcPr>
            <w:tcW w:w="4508" w:type="dxa"/>
          </w:tcPr>
          <w:p w14:paraId="763CFA60" w14:textId="5AA2ED72"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28281AB6" w14:textId="77777777" w:rsidTr="582284F0">
        <w:trPr>
          <w:trHeight w:val="300"/>
        </w:trPr>
        <w:tc>
          <w:tcPr>
            <w:tcW w:w="4508" w:type="dxa"/>
          </w:tcPr>
          <w:p w14:paraId="298204CB" w14:textId="1A57167A" w:rsidR="6120867C" w:rsidRDefault="6120867C" w:rsidP="582284F0">
            <w:pPr>
              <w:rPr>
                <w:rFonts w:ascii="Aptos" w:eastAsia="Aptos" w:hAnsi="Aptos" w:cs="Aptos"/>
                <w:color w:val="000000" w:themeColor="text1"/>
              </w:rPr>
            </w:pPr>
            <w:r w:rsidRPr="582284F0">
              <w:rPr>
                <w:rFonts w:ascii="Aptos" w:eastAsia="Aptos" w:hAnsi="Aptos" w:cs="Aptos"/>
                <w:color w:val="FF0000"/>
              </w:rPr>
              <w:t xml:space="preserve">14f </w:t>
            </w:r>
            <w:r w:rsidRPr="582284F0">
              <w:rPr>
                <w:rFonts w:ascii="Aptos" w:eastAsia="Aptos" w:hAnsi="Aptos" w:cs="Aptos"/>
                <w:color w:val="000000" w:themeColor="text1"/>
              </w:rPr>
              <w:t>Please explain the reasons for your answer to question 14e.</w:t>
            </w:r>
          </w:p>
          <w:p w14:paraId="79D8A4C7" w14:textId="7F62FFA6" w:rsidR="582284F0" w:rsidRDefault="582284F0" w:rsidP="582284F0">
            <w:pPr>
              <w:rPr>
                <w:rFonts w:ascii="Aptos" w:eastAsia="Aptos" w:hAnsi="Aptos" w:cs="Aptos"/>
                <w:color w:val="FF0000"/>
              </w:rPr>
            </w:pPr>
          </w:p>
        </w:tc>
        <w:tc>
          <w:tcPr>
            <w:tcW w:w="4508" w:type="dxa"/>
          </w:tcPr>
          <w:p w14:paraId="4F399B95" w14:textId="3BD2B74B" w:rsidR="6120867C" w:rsidRDefault="6120867C" w:rsidP="582284F0">
            <w:pPr>
              <w:rPr>
                <w:rFonts w:ascii="Aptos" w:eastAsia="Aptos" w:hAnsi="Aptos" w:cs="Aptos"/>
                <w:color w:val="000000" w:themeColor="text1"/>
              </w:rPr>
            </w:pPr>
            <w:r w:rsidRPr="582284F0">
              <w:rPr>
                <w:rFonts w:ascii="Aptos" w:eastAsia="Aptos" w:hAnsi="Aptos" w:cs="Aptos"/>
                <w:color w:val="000000" w:themeColor="text1"/>
              </w:rPr>
              <w:t>Current solutions which rely on the payee to spend money challenging the payer to recover monies owed are fundamentally unequal. Time and resource limitations often lead to smaller businesses writing off owed money due to an inability to pursue justice, which is prohibitive to driving cultural change across the construction sector. Automatically tying financial penalties to transparent and accurate unpaid statutory interest liabilities would drive essential positive change</w:t>
            </w:r>
          </w:p>
        </w:tc>
      </w:tr>
    </w:tbl>
    <w:p w14:paraId="4D287AC8" w14:textId="10EBA8D9" w:rsidR="009D121B" w:rsidRDefault="009D121B" w:rsidP="0676D472">
      <w:pPr>
        <w:spacing w:after="0"/>
        <w:ind w:left="720"/>
        <w:rPr>
          <w:rFonts w:ascii="Aptos" w:eastAsia="Aptos" w:hAnsi="Aptos" w:cs="Aptos"/>
          <w:color w:val="000000" w:themeColor="text1"/>
        </w:rPr>
      </w:pPr>
    </w:p>
    <w:p w14:paraId="39E95843" w14:textId="77777777" w:rsidR="009D121B" w:rsidRDefault="009D121B">
      <w:pPr>
        <w:rPr>
          <w:rFonts w:ascii="Aptos" w:eastAsia="Aptos" w:hAnsi="Aptos" w:cs="Aptos"/>
          <w:color w:val="000000" w:themeColor="text1"/>
        </w:rPr>
      </w:pPr>
      <w:r>
        <w:rPr>
          <w:rFonts w:ascii="Aptos" w:eastAsia="Aptos" w:hAnsi="Aptos" w:cs="Aptos"/>
          <w:color w:val="000000" w:themeColor="text1"/>
        </w:rPr>
        <w:br w:type="page"/>
      </w:r>
    </w:p>
    <w:tbl>
      <w:tblPr>
        <w:tblStyle w:val="TableGrid"/>
        <w:tblW w:w="0" w:type="auto"/>
        <w:tblLayout w:type="fixed"/>
        <w:tblLook w:val="04A0" w:firstRow="1" w:lastRow="0" w:firstColumn="1" w:lastColumn="0" w:noHBand="0" w:noVBand="1"/>
      </w:tblPr>
      <w:tblGrid>
        <w:gridCol w:w="4508"/>
        <w:gridCol w:w="4508"/>
      </w:tblGrid>
      <w:tr w:rsidR="00DC52A8" w14:paraId="3144FFD3" w14:textId="77777777" w:rsidTr="009E54B9">
        <w:trPr>
          <w:trHeight w:val="300"/>
        </w:trPr>
        <w:tc>
          <w:tcPr>
            <w:tcW w:w="4508" w:type="dxa"/>
            <w:shd w:val="clear" w:color="auto" w:fill="D9D9D9" w:themeFill="background1" w:themeFillShade="D9"/>
          </w:tcPr>
          <w:p w14:paraId="1E0566FE"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504CE6F4"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001816C1" w14:textId="77777777" w:rsidTr="582284F0">
        <w:tblPrEx>
          <w:tblLook w:val="06A0" w:firstRow="1" w:lastRow="0" w:firstColumn="1" w:lastColumn="0" w:noHBand="1" w:noVBand="1"/>
        </w:tblPrEx>
        <w:trPr>
          <w:trHeight w:val="300"/>
        </w:trPr>
        <w:tc>
          <w:tcPr>
            <w:tcW w:w="4508" w:type="dxa"/>
          </w:tcPr>
          <w:p w14:paraId="66178E98" w14:textId="2F4305F0" w:rsidR="55E45547" w:rsidRDefault="55E45547" w:rsidP="582284F0">
            <w:pPr>
              <w:rPr>
                <w:rFonts w:ascii="Aptos" w:eastAsia="Aptos" w:hAnsi="Aptos" w:cs="Aptos"/>
                <w:color w:val="000000" w:themeColor="text1"/>
              </w:rPr>
            </w:pPr>
            <w:r w:rsidRPr="582284F0">
              <w:rPr>
                <w:rFonts w:ascii="Aptos" w:eastAsia="Aptos" w:hAnsi="Aptos" w:cs="Aptos"/>
                <w:color w:val="FF0000"/>
              </w:rPr>
              <w:t>15a</w:t>
            </w:r>
            <w:r w:rsidRPr="582284F0">
              <w:rPr>
                <w:rFonts w:ascii="Aptos" w:eastAsia="Aptos" w:hAnsi="Aptos" w:cs="Aptos"/>
                <w:color w:val="000000" w:themeColor="text1"/>
              </w:rPr>
              <w:t xml:space="preserve"> To what extent do you agree that the introduction of the new powers for the Small Business Commissioner will be effective in improving compliance and enforcement of new and existing regulations around payments?</w:t>
            </w:r>
          </w:p>
        </w:tc>
        <w:tc>
          <w:tcPr>
            <w:tcW w:w="4508" w:type="dxa"/>
          </w:tcPr>
          <w:p w14:paraId="05FE8049" w14:textId="5F2A66A2"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19C4050E" w14:textId="77777777" w:rsidTr="582284F0">
        <w:tblPrEx>
          <w:tblLook w:val="06A0" w:firstRow="1" w:lastRow="0" w:firstColumn="1" w:lastColumn="0" w:noHBand="1" w:noVBand="1"/>
        </w:tblPrEx>
        <w:trPr>
          <w:trHeight w:val="300"/>
        </w:trPr>
        <w:tc>
          <w:tcPr>
            <w:tcW w:w="4508" w:type="dxa"/>
          </w:tcPr>
          <w:p w14:paraId="39754D7C" w14:textId="2F52F235" w:rsidR="55E45547" w:rsidRDefault="55E45547" w:rsidP="582284F0">
            <w:pPr>
              <w:rPr>
                <w:rFonts w:ascii="Aptos" w:eastAsia="Aptos" w:hAnsi="Aptos" w:cs="Aptos"/>
                <w:color w:val="000000" w:themeColor="text1"/>
              </w:rPr>
            </w:pPr>
            <w:r w:rsidRPr="582284F0">
              <w:rPr>
                <w:rFonts w:ascii="Aptos" w:eastAsia="Aptos" w:hAnsi="Aptos" w:cs="Aptos"/>
                <w:color w:val="FF0000"/>
              </w:rPr>
              <w:t>15b</w:t>
            </w:r>
            <w:r w:rsidRPr="582284F0">
              <w:rPr>
                <w:rFonts w:ascii="Aptos" w:eastAsia="Aptos" w:hAnsi="Aptos" w:cs="Aptos"/>
                <w:color w:val="000000" w:themeColor="text1"/>
              </w:rPr>
              <w:t xml:space="preserve"> Please explain the reasons for your answer to question 15a</w:t>
            </w:r>
          </w:p>
          <w:p w14:paraId="5B844082" w14:textId="618EC072" w:rsidR="582284F0" w:rsidRDefault="582284F0" w:rsidP="582284F0">
            <w:pPr>
              <w:rPr>
                <w:rFonts w:ascii="Aptos" w:eastAsia="Aptos" w:hAnsi="Aptos" w:cs="Aptos"/>
                <w:color w:val="000000" w:themeColor="text1"/>
              </w:rPr>
            </w:pPr>
          </w:p>
        </w:tc>
        <w:tc>
          <w:tcPr>
            <w:tcW w:w="4508" w:type="dxa"/>
          </w:tcPr>
          <w:p w14:paraId="0BCDF2C0" w14:textId="39A33FEA"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The Small Business Commissioner (SBC) currently has its jurisdiction and powers limited by the lack of investigative and enforcement abilities. The proposed improvements would unlock the SBC’s potential.</w:t>
            </w:r>
          </w:p>
        </w:tc>
      </w:tr>
      <w:tr w:rsidR="582284F0" w14:paraId="1D10550A" w14:textId="77777777" w:rsidTr="582284F0">
        <w:tblPrEx>
          <w:tblLook w:val="06A0" w:firstRow="1" w:lastRow="0" w:firstColumn="1" w:lastColumn="0" w:noHBand="1" w:noVBand="1"/>
        </w:tblPrEx>
        <w:trPr>
          <w:trHeight w:val="300"/>
        </w:trPr>
        <w:tc>
          <w:tcPr>
            <w:tcW w:w="4508" w:type="dxa"/>
          </w:tcPr>
          <w:p w14:paraId="4DF7D83B" w14:textId="3DCCCF1F" w:rsidR="55E45547" w:rsidRDefault="55E45547" w:rsidP="582284F0">
            <w:pPr>
              <w:rPr>
                <w:rFonts w:ascii="Aptos" w:eastAsia="Aptos" w:hAnsi="Aptos" w:cs="Aptos"/>
                <w:color w:val="000000" w:themeColor="text1"/>
              </w:rPr>
            </w:pPr>
            <w:r w:rsidRPr="582284F0">
              <w:rPr>
                <w:rFonts w:ascii="Aptos" w:eastAsia="Aptos" w:hAnsi="Aptos" w:cs="Aptos"/>
                <w:color w:val="FF0000"/>
              </w:rPr>
              <w:t>15c</w:t>
            </w:r>
            <w:r w:rsidRPr="582284F0">
              <w:rPr>
                <w:rFonts w:ascii="Aptos" w:eastAsia="Aptos" w:hAnsi="Aptos" w:cs="Aptos"/>
                <w:color w:val="000000" w:themeColor="text1"/>
              </w:rPr>
              <w:t xml:space="preserve"> To what extent do you agree that the introduction of the new powers for the Small Business Commissioner will enhance its ability to support small businesses to resolve payment disputes?</w:t>
            </w:r>
          </w:p>
        </w:tc>
        <w:tc>
          <w:tcPr>
            <w:tcW w:w="4508" w:type="dxa"/>
          </w:tcPr>
          <w:p w14:paraId="4856541D" w14:textId="5CBAE15B"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Strongly agree</w:t>
            </w:r>
          </w:p>
        </w:tc>
      </w:tr>
      <w:tr w:rsidR="582284F0" w14:paraId="37345568" w14:textId="77777777" w:rsidTr="582284F0">
        <w:tblPrEx>
          <w:tblLook w:val="06A0" w:firstRow="1" w:lastRow="0" w:firstColumn="1" w:lastColumn="0" w:noHBand="1" w:noVBand="1"/>
        </w:tblPrEx>
        <w:trPr>
          <w:trHeight w:val="300"/>
        </w:trPr>
        <w:tc>
          <w:tcPr>
            <w:tcW w:w="4508" w:type="dxa"/>
          </w:tcPr>
          <w:p w14:paraId="5F632693" w14:textId="0F4ED476" w:rsidR="55E45547" w:rsidRDefault="55E45547" w:rsidP="582284F0">
            <w:pPr>
              <w:rPr>
                <w:rFonts w:ascii="Aptos" w:eastAsia="Aptos" w:hAnsi="Aptos" w:cs="Aptos"/>
                <w:color w:val="000000" w:themeColor="text1"/>
              </w:rPr>
            </w:pPr>
            <w:r w:rsidRPr="582284F0">
              <w:rPr>
                <w:rFonts w:ascii="Aptos" w:eastAsia="Aptos" w:hAnsi="Aptos" w:cs="Aptos"/>
                <w:color w:val="FF0000"/>
              </w:rPr>
              <w:t xml:space="preserve">15d </w:t>
            </w:r>
            <w:r w:rsidRPr="582284F0">
              <w:rPr>
                <w:rFonts w:ascii="Aptos" w:eastAsia="Aptos" w:hAnsi="Aptos" w:cs="Aptos"/>
                <w:color w:val="000000" w:themeColor="text1"/>
              </w:rPr>
              <w:t>Please explain the reasons for your answer to question 15c</w:t>
            </w:r>
          </w:p>
          <w:p w14:paraId="42BDC28E" w14:textId="67BEB277" w:rsidR="582284F0" w:rsidRDefault="582284F0" w:rsidP="582284F0">
            <w:pPr>
              <w:rPr>
                <w:rFonts w:ascii="Aptos" w:eastAsia="Aptos" w:hAnsi="Aptos" w:cs="Aptos"/>
                <w:color w:val="000000" w:themeColor="text1"/>
              </w:rPr>
            </w:pPr>
          </w:p>
        </w:tc>
        <w:tc>
          <w:tcPr>
            <w:tcW w:w="4508" w:type="dxa"/>
          </w:tcPr>
          <w:p w14:paraId="579187BB" w14:textId="300A88FD"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As it stands, the Small Business Commissioner does not have the scope and enforcement powers to significantly improve the experiences of SMEs across the UK.</w:t>
            </w:r>
          </w:p>
        </w:tc>
      </w:tr>
      <w:tr w:rsidR="582284F0" w14:paraId="6088BF31" w14:textId="77777777" w:rsidTr="582284F0">
        <w:tblPrEx>
          <w:tblLook w:val="06A0" w:firstRow="1" w:lastRow="0" w:firstColumn="1" w:lastColumn="0" w:noHBand="1" w:noVBand="1"/>
        </w:tblPrEx>
        <w:trPr>
          <w:trHeight w:val="300"/>
        </w:trPr>
        <w:tc>
          <w:tcPr>
            <w:tcW w:w="4508" w:type="dxa"/>
          </w:tcPr>
          <w:p w14:paraId="047D4755" w14:textId="0672CEF1" w:rsidR="55E45547" w:rsidRDefault="55E45547" w:rsidP="582284F0">
            <w:pPr>
              <w:rPr>
                <w:rFonts w:ascii="Aptos" w:eastAsia="Aptos" w:hAnsi="Aptos" w:cs="Aptos"/>
                <w:color w:val="000000" w:themeColor="text1"/>
              </w:rPr>
            </w:pPr>
            <w:r w:rsidRPr="582284F0">
              <w:rPr>
                <w:rFonts w:ascii="Aptos" w:eastAsia="Aptos" w:hAnsi="Aptos" w:cs="Aptos"/>
                <w:color w:val="FF0000"/>
              </w:rPr>
              <w:t xml:space="preserve">15e </w:t>
            </w:r>
            <w:r w:rsidRPr="582284F0">
              <w:rPr>
                <w:rFonts w:ascii="Aptos" w:eastAsia="Aptos" w:hAnsi="Aptos" w:cs="Aptos"/>
                <w:color w:val="000000" w:themeColor="text1"/>
              </w:rPr>
              <w:t>Are there any potential unintended consequences or considerations that should be taken into account for the introduction of this measure?</w:t>
            </w:r>
          </w:p>
        </w:tc>
        <w:tc>
          <w:tcPr>
            <w:tcW w:w="4508" w:type="dxa"/>
          </w:tcPr>
          <w:p w14:paraId="063E83B5" w14:textId="3067FCF9"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No</w:t>
            </w:r>
          </w:p>
        </w:tc>
      </w:tr>
      <w:tr w:rsidR="582284F0" w14:paraId="5DBF5A51" w14:textId="77777777" w:rsidTr="582284F0">
        <w:tblPrEx>
          <w:tblLook w:val="06A0" w:firstRow="1" w:lastRow="0" w:firstColumn="1" w:lastColumn="0" w:noHBand="1" w:noVBand="1"/>
        </w:tblPrEx>
        <w:trPr>
          <w:trHeight w:val="300"/>
        </w:trPr>
        <w:tc>
          <w:tcPr>
            <w:tcW w:w="4508" w:type="dxa"/>
          </w:tcPr>
          <w:p w14:paraId="118C4916" w14:textId="770C35AD" w:rsidR="55E45547" w:rsidRDefault="55E45547" w:rsidP="582284F0">
            <w:pPr>
              <w:rPr>
                <w:rFonts w:ascii="Aptos" w:eastAsia="Aptos" w:hAnsi="Aptos" w:cs="Aptos"/>
                <w:color w:val="000000" w:themeColor="text1"/>
              </w:rPr>
            </w:pPr>
            <w:r w:rsidRPr="582284F0">
              <w:rPr>
                <w:rFonts w:ascii="Aptos" w:eastAsia="Aptos" w:hAnsi="Aptos" w:cs="Aptos"/>
                <w:color w:val="FF0000"/>
              </w:rPr>
              <w:t>15f</w:t>
            </w:r>
            <w:r w:rsidRPr="582284F0">
              <w:rPr>
                <w:rFonts w:ascii="Aptos" w:eastAsia="Aptos" w:hAnsi="Aptos" w:cs="Aptos"/>
                <w:color w:val="000000" w:themeColor="text1"/>
              </w:rPr>
              <w:t xml:space="preserve"> Please explain the reasons for your answer to question Q15e.</w:t>
            </w:r>
          </w:p>
        </w:tc>
        <w:tc>
          <w:tcPr>
            <w:tcW w:w="4508" w:type="dxa"/>
          </w:tcPr>
          <w:p w14:paraId="38C25A1C" w14:textId="72D5B802"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N/A</w:t>
            </w:r>
          </w:p>
          <w:p w14:paraId="7B135AAA" w14:textId="2FFB35CE" w:rsidR="582284F0" w:rsidRDefault="582284F0" w:rsidP="582284F0">
            <w:pPr>
              <w:ind w:left="720"/>
              <w:rPr>
                <w:rFonts w:ascii="Aptos" w:eastAsia="Aptos" w:hAnsi="Aptos" w:cs="Aptos"/>
                <w:color w:val="000000" w:themeColor="text1"/>
              </w:rPr>
            </w:pPr>
          </w:p>
        </w:tc>
      </w:tr>
      <w:tr w:rsidR="582284F0" w14:paraId="3F6256EA" w14:textId="77777777" w:rsidTr="582284F0">
        <w:tblPrEx>
          <w:tblLook w:val="06A0" w:firstRow="1" w:lastRow="0" w:firstColumn="1" w:lastColumn="0" w:noHBand="1" w:noVBand="1"/>
        </w:tblPrEx>
        <w:trPr>
          <w:trHeight w:val="300"/>
        </w:trPr>
        <w:tc>
          <w:tcPr>
            <w:tcW w:w="4508" w:type="dxa"/>
          </w:tcPr>
          <w:p w14:paraId="566BE613" w14:textId="79982C48" w:rsidR="55E45547" w:rsidRDefault="55E45547" w:rsidP="582284F0">
            <w:pPr>
              <w:rPr>
                <w:rFonts w:ascii="Aptos" w:eastAsia="Aptos" w:hAnsi="Aptos" w:cs="Aptos"/>
                <w:color w:val="000000" w:themeColor="text1"/>
              </w:rPr>
            </w:pPr>
            <w:r w:rsidRPr="582284F0">
              <w:rPr>
                <w:rFonts w:ascii="Aptos" w:eastAsia="Aptos" w:hAnsi="Aptos" w:cs="Aptos"/>
                <w:color w:val="FF0000"/>
              </w:rPr>
              <w:t>16a</w:t>
            </w:r>
            <w:r w:rsidRPr="582284F0">
              <w:rPr>
                <w:rFonts w:ascii="Aptos" w:eastAsia="Aptos" w:hAnsi="Aptos" w:cs="Aptos"/>
                <w:color w:val="000000" w:themeColor="text1"/>
              </w:rPr>
              <w:t xml:space="preserve"> To what extent do you agree that the requirement for businesses to report under the Payment Practices and Performance Reporting Regulations should be changed from twice a year to once a year?</w:t>
            </w:r>
          </w:p>
        </w:tc>
        <w:tc>
          <w:tcPr>
            <w:tcW w:w="4508" w:type="dxa"/>
          </w:tcPr>
          <w:p w14:paraId="24059A3B" w14:textId="3A7812E7"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Strongly disagree</w:t>
            </w:r>
          </w:p>
        </w:tc>
      </w:tr>
    </w:tbl>
    <w:p w14:paraId="780F1A6D"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63D4AF9B" w14:textId="77777777" w:rsidTr="009E54B9">
        <w:trPr>
          <w:trHeight w:val="300"/>
        </w:trPr>
        <w:tc>
          <w:tcPr>
            <w:tcW w:w="4508" w:type="dxa"/>
            <w:shd w:val="clear" w:color="auto" w:fill="D9D9D9" w:themeFill="background1" w:themeFillShade="D9"/>
          </w:tcPr>
          <w:p w14:paraId="7675AF73"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1BD8B641"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291271E8" w14:textId="77777777" w:rsidTr="582284F0">
        <w:trPr>
          <w:trHeight w:val="300"/>
        </w:trPr>
        <w:tc>
          <w:tcPr>
            <w:tcW w:w="4508" w:type="dxa"/>
          </w:tcPr>
          <w:p w14:paraId="4CF7E85C" w14:textId="58480326" w:rsidR="55E45547" w:rsidRDefault="55E45547" w:rsidP="582284F0">
            <w:pPr>
              <w:rPr>
                <w:rFonts w:ascii="Aptos" w:eastAsia="Aptos" w:hAnsi="Aptos" w:cs="Aptos"/>
                <w:color w:val="000000" w:themeColor="text1"/>
              </w:rPr>
            </w:pPr>
            <w:r w:rsidRPr="582284F0">
              <w:rPr>
                <w:rFonts w:ascii="Aptos" w:eastAsia="Aptos" w:hAnsi="Aptos" w:cs="Aptos"/>
                <w:color w:val="FF0000"/>
              </w:rPr>
              <w:t>16b</w:t>
            </w:r>
            <w:r w:rsidRPr="582284F0">
              <w:rPr>
                <w:rFonts w:ascii="Aptos" w:eastAsia="Aptos" w:hAnsi="Aptos" w:cs="Aptos"/>
                <w:color w:val="000000" w:themeColor="text1"/>
              </w:rPr>
              <w:t xml:space="preserve"> Please explain the reasons for your answer to question 16a</w:t>
            </w:r>
          </w:p>
        </w:tc>
        <w:tc>
          <w:tcPr>
            <w:tcW w:w="4508" w:type="dxa"/>
          </w:tcPr>
          <w:p w14:paraId="038E6BA0" w14:textId="2D599794" w:rsidR="55E45547" w:rsidRDefault="55E45547" w:rsidP="582284F0">
            <w:pPr>
              <w:rPr>
                <w:rFonts w:ascii="Aptos" w:eastAsia="Aptos" w:hAnsi="Aptos" w:cs="Aptos"/>
                <w:color w:val="000000" w:themeColor="text1"/>
              </w:rPr>
            </w:pPr>
            <w:r w:rsidRPr="582284F0">
              <w:rPr>
                <w:rFonts w:ascii="Aptos" w:eastAsia="Aptos" w:hAnsi="Aptos" w:cs="Aptos"/>
                <w:color w:val="000000" w:themeColor="text1"/>
              </w:rPr>
              <w:t>Once a year would risk data being 11 months out of date, harming the ability of businesses to make educated decisions about who they work with. As the data mainly involves aggregated averages and percentages, a reduction in regularity would make the data 50% less reliable. To maintain credibility the reports must be kept as 6 monthly. If reporting is reduced to once a year the reports would risk becoming redundant.</w:t>
            </w:r>
          </w:p>
        </w:tc>
      </w:tr>
    </w:tbl>
    <w:p w14:paraId="61BDA7EF" w14:textId="77777777" w:rsidR="00DC52A8" w:rsidRDefault="00DC52A8">
      <w:r>
        <w:br w:type="page"/>
      </w:r>
    </w:p>
    <w:tbl>
      <w:tblPr>
        <w:tblStyle w:val="TableGrid"/>
        <w:tblW w:w="9016" w:type="dxa"/>
        <w:tblLayout w:type="fixed"/>
        <w:tblLook w:val="06A0" w:firstRow="1" w:lastRow="0" w:firstColumn="1" w:lastColumn="0" w:noHBand="1" w:noVBand="1"/>
      </w:tblPr>
      <w:tblGrid>
        <w:gridCol w:w="4508"/>
        <w:gridCol w:w="4508"/>
      </w:tblGrid>
      <w:tr w:rsidR="00DC52A8" w14:paraId="442FDDB3" w14:textId="77777777" w:rsidTr="009E54B9">
        <w:trPr>
          <w:trHeight w:val="300"/>
        </w:trPr>
        <w:tc>
          <w:tcPr>
            <w:tcW w:w="4508" w:type="dxa"/>
            <w:shd w:val="clear" w:color="auto" w:fill="D9D9D9" w:themeFill="background1" w:themeFillShade="D9"/>
          </w:tcPr>
          <w:p w14:paraId="43E072D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14A2CA1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241C2280" w14:textId="77777777" w:rsidTr="00DC52A8">
        <w:trPr>
          <w:trHeight w:val="300"/>
        </w:trPr>
        <w:tc>
          <w:tcPr>
            <w:tcW w:w="4508" w:type="dxa"/>
          </w:tcPr>
          <w:p w14:paraId="16E4B6F6" w14:textId="20581068" w:rsidR="6F581C32" w:rsidRDefault="6F581C32" w:rsidP="582284F0">
            <w:pPr>
              <w:rPr>
                <w:rFonts w:ascii="Aptos" w:eastAsia="Aptos" w:hAnsi="Aptos" w:cs="Aptos"/>
                <w:color w:val="000000" w:themeColor="text1"/>
              </w:rPr>
            </w:pPr>
            <w:r w:rsidRPr="582284F0">
              <w:rPr>
                <w:rFonts w:ascii="Aptos" w:eastAsia="Aptos" w:hAnsi="Aptos" w:cs="Aptos"/>
                <w:color w:val="FF0000"/>
              </w:rPr>
              <w:t>17a</w:t>
            </w:r>
            <w:r w:rsidRPr="582284F0">
              <w:rPr>
                <w:rFonts w:ascii="Aptos" w:eastAsia="Aptos" w:hAnsi="Aptos" w:cs="Aptos"/>
                <w:color w:val="000000" w:themeColor="text1"/>
              </w:rPr>
              <w:t xml:space="preserve"> To what extent do you agree that prohibiting the use of retention clauses in construction contracts would be effective in addressing the stated problems associated with retention?</w:t>
            </w:r>
          </w:p>
        </w:tc>
        <w:tc>
          <w:tcPr>
            <w:tcW w:w="4508" w:type="dxa"/>
          </w:tcPr>
          <w:p w14:paraId="7B283933" w14:textId="704FE02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Agree</w:t>
            </w:r>
          </w:p>
        </w:tc>
      </w:tr>
      <w:tr w:rsidR="582284F0" w14:paraId="5974E3BF" w14:textId="77777777" w:rsidTr="00DC52A8">
        <w:trPr>
          <w:trHeight w:val="300"/>
        </w:trPr>
        <w:tc>
          <w:tcPr>
            <w:tcW w:w="4508" w:type="dxa"/>
          </w:tcPr>
          <w:p w14:paraId="21256A49" w14:textId="28EFEE8D"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17b </w:t>
            </w:r>
            <w:r w:rsidRPr="582284F0">
              <w:rPr>
                <w:rFonts w:ascii="Aptos" w:eastAsia="Aptos" w:hAnsi="Aptos" w:cs="Aptos"/>
                <w:color w:val="000000" w:themeColor="text1"/>
              </w:rPr>
              <w:t>Please explain the reasons for your answer to question 17a.</w:t>
            </w:r>
          </w:p>
        </w:tc>
        <w:tc>
          <w:tcPr>
            <w:tcW w:w="4508" w:type="dxa"/>
          </w:tcPr>
          <w:p w14:paraId="36EECE5D" w14:textId="65AB8FC6" w:rsidR="6F581C32" w:rsidRDefault="0087551E" w:rsidP="582284F0">
            <w:pPr>
              <w:rPr>
                <w:rFonts w:ascii="Aptos" w:eastAsia="Aptos" w:hAnsi="Aptos" w:cs="Aptos"/>
                <w:color w:val="000000" w:themeColor="text1"/>
              </w:rPr>
            </w:pPr>
            <w:r>
              <w:rPr>
                <w:rFonts w:ascii="Aptos" w:eastAsia="Aptos" w:hAnsi="Aptos" w:cs="Aptos"/>
                <w:color w:val="000000" w:themeColor="text1"/>
              </w:rPr>
              <w:t>Tackling the issue of</w:t>
            </w:r>
            <w:r w:rsidR="6F581C32" w:rsidRPr="582284F0">
              <w:rPr>
                <w:rFonts w:ascii="Aptos" w:eastAsia="Aptos" w:hAnsi="Aptos" w:cs="Aptos"/>
                <w:color w:val="000000" w:themeColor="text1"/>
              </w:rPr>
              <w:t xml:space="preserve"> abusive retention clauses is </w:t>
            </w:r>
            <w:r w:rsidR="00E457C4">
              <w:rPr>
                <w:rFonts w:ascii="Aptos" w:eastAsia="Aptos" w:hAnsi="Aptos" w:cs="Aptos"/>
                <w:color w:val="000000" w:themeColor="text1"/>
              </w:rPr>
              <w:t xml:space="preserve">a helpful tool for </w:t>
            </w:r>
            <w:r w:rsidR="6F581C32" w:rsidRPr="582284F0">
              <w:rPr>
                <w:rFonts w:ascii="Aptos" w:eastAsia="Aptos" w:hAnsi="Aptos" w:cs="Aptos"/>
                <w:color w:val="000000" w:themeColor="text1"/>
              </w:rPr>
              <w:t>unlocking growth for roofing businesses</w:t>
            </w:r>
            <w:r w:rsidR="00E457C4">
              <w:rPr>
                <w:rFonts w:ascii="Aptos" w:eastAsia="Aptos" w:hAnsi="Aptos" w:cs="Aptos"/>
                <w:color w:val="000000" w:themeColor="text1"/>
              </w:rPr>
              <w:t xml:space="preserve">, </w:t>
            </w:r>
            <w:r w:rsidR="6F581C32" w:rsidRPr="582284F0">
              <w:rPr>
                <w:rFonts w:ascii="Aptos" w:eastAsia="Aptos" w:hAnsi="Aptos" w:cs="Aptos"/>
                <w:color w:val="000000" w:themeColor="text1"/>
              </w:rPr>
              <w:t>the wider construction sector</w:t>
            </w:r>
            <w:r w:rsidR="00E457C4">
              <w:rPr>
                <w:rFonts w:ascii="Aptos" w:eastAsia="Aptos" w:hAnsi="Aptos" w:cs="Aptos"/>
                <w:color w:val="000000" w:themeColor="text1"/>
              </w:rPr>
              <w:t>, and the UK as a whole</w:t>
            </w:r>
            <w:r w:rsidR="6F581C32" w:rsidRPr="582284F0">
              <w:rPr>
                <w:rFonts w:ascii="Aptos" w:eastAsia="Aptos" w:hAnsi="Aptos" w:cs="Aptos"/>
                <w:color w:val="000000" w:themeColor="text1"/>
              </w:rPr>
              <w:t>. Currently, payees must fight to prove payment is due, while payers hold the money, earn interest, and often delay or deny release. Many firms give up chasing retentions, losing time, money, and wellbeing.</w:t>
            </w:r>
          </w:p>
          <w:p w14:paraId="4B49CEAC" w14:textId="66F3DB1E"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Retentions risk being lost entirely if a company collapses, as seen with Carillion and ISG. In 2017, a government report estimated that around £6 billion is tied up in retentions, with over £229 million lost to insolvency each year, and these figures will only have grown. This is a key factor keeping construction one of the UK’s most insolvent sectors. </w:t>
            </w:r>
          </w:p>
          <w:p w14:paraId="18B2F571" w14:textId="6927B955" w:rsidR="6F581C32" w:rsidRDefault="00E457C4" w:rsidP="582284F0">
            <w:pPr>
              <w:rPr>
                <w:rFonts w:ascii="Aptos" w:eastAsia="Aptos" w:hAnsi="Aptos" w:cs="Aptos"/>
                <w:color w:val="000000" w:themeColor="text1"/>
              </w:rPr>
            </w:pPr>
            <w:r w:rsidRPr="00E457C4">
              <w:rPr>
                <w:rFonts w:ascii="Aptos" w:eastAsia="Aptos" w:hAnsi="Aptos" w:cs="Aptos"/>
                <w:color w:val="000000" w:themeColor="text1"/>
              </w:rPr>
              <w:t>A legislative prohibition on the use of retention clauses in construction contracts would be effective, but only if steps are taken to prevent alternative methods of delaying payment being created</w:t>
            </w:r>
            <w:r>
              <w:rPr>
                <w:rFonts w:ascii="Aptos" w:eastAsia="Aptos" w:hAnsi="Aptos" w:cs="Aptos"/>
                <w:color w:val="000000" w:themeColor="text1"/>
              </w:rPr>
              <w:t xml:space="preserve"> to fill the space</w:t>
            </w:r>
            <w:r w:rsidRPr="00E457C4">
              <w:rPr>
                <w:rFonts w:ascii="Aptos" w:eastAsia="Aptos" w:hAnsi="Aptos" w:cs="Aptos"/>
                <w:color w:val="000000" w:themeColor="text1"/>
              </w:rPr>
              <w:t>. The primary issue is not retention clauses themselves, but the abuse by payers of our cash which is withheld as retentions and the risk it is lost in the event of their insolvency.</w:t>
            </w:r>
          </w:p>
        </w:tc>
      </w:tr>
    </w:tbl>
    <w:p w14:paraId="4368ED6B" w14:textId="77777777" w:rsidR="00DC52A8" w:rsidRDefault="00DC52A8">
      <w:r>
        <w:br w:type="page"/>
      </w:r>
    </w:p>
    <w:tbl>
      <w:tblPr>
        <w:tblStyle w:val="TableGrid"/>
        <w:tblW w:w="9136" w:type="dxa"/>
        <w:tblLayout w:type="fixed"/>
        <w:tblLook w:val="06A0" w:firstRow="1" w:lastRow="0" w:firstColumn="1" w:lastColumn="0" w:noHBand="1" w:noVBand="1"/>
      </w:tblPr>
      <w:tblGrid>
        <w:gridCol w:w="4508"/>
        <w:gridCol w:w="4508"/>
        <w:gridCol w:w="120"/>
      </w:tblGrid>
      <w:tr w:rsidR="00DC52A8" w14:paraId="01675336" w14:textId="77777777" w:rsidTr="009E54B9">
        <w:trPr>
          <w:gridAfter w:val="1"/>
          <w:wAfter w:w="120" w:type="dxa"/>
          <w:trHeight w:val="300"/>
        </w:trPr>
        <w:tc>
          <w:tcPr>
            <w:tcW w:w="4508" w:type="dxa"/>
            <w:shd w:val="clear" w:color="auto" w:fill="D9D9D9" w:themeFill="background1" w:themeFillShade="D9"/>
          </w:tcPr>
          <w:p w14:paraId="7B58F3D7" w14:textId="229EDBF4"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1E8F7AD0"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69D4E25C" w14:textId="77777777" w:rsidTr="00DC52A8">
        <w:trPr>
          <w:trHeight w:val="300"/>
        </w:trPr>
        <w:tc>
          <w:tcPr>
            <w:tcW w:w="4508" w:type="dxa"/>
          </w:tcPr>
          <w:p w14:paraId="43E6A8BC" w14:textId="4AB3D2F5"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18 </w:t>
            </w:r>
            <w:r w:rsidRPr="582284F0">
              <w:rPr>
                <w:rFonts w:ascii="Aptos" w:eastAsia="Aptos" w:hAnsi="Aptos" w:cs="Aptos"/>
                <w:color w:val="000000" w:themeColor="text1"/>
              </w:rPr>
              <w:t>Under a prohibition on the use of retention clauses in construction contracts, what alternative measures would a payer seek to ensure performance and quality from a supplier? Please explain the reasons for your answer.</w:t>
            </w:r>
          </w:p>
        </w:tc>
        <w:tc>
          <w:tcPr>
            <w:tcW w:w="4628" w:type="dxa"/>
            <w:gridSpan w:val="2"/>
          </w:tcPr>
          <w:p w14:paraId="4526B409" w14:textId="3D882446" w:rsidR="6F581C32" w:rsidRDefault="00E457C4" w:rsidP="582284F0">
            <w:pPr>
              <w:rPr>
                <w:rFonts w:ascii="Aptos" w:eastAsia="Aptos" w:hAnsi="Aptos" w:cs="Aptos"/>
                <w:color w:val="000000" w:themeColor="text1"/>
              </w:rPr>
            </w:pPr>
            <w:r w:rsidRPr="00E457C4">
              <w:rPr>
                <w:rFonts w:ascii="Aptos" w:eastAsia="Aptos" w:hAnsi="Aptos" w:cs="Aptos"/>
                <w:color w:val="000000" w:themeColor="text1"/>
              </w:rPr>
              <w:t xml:space="preserve">We would expect a Payer to also look at other traditional forms of contractual security against non-performance, e.g.  parent company guarantees, personal guarantees – where available and of any value – or performance bonds. </w:t>
            </w:r>
            <w:r>
              <w:rPr>
                <w:rFonts w:ascii="Aptos" w:eastAsia="Aptos" w:hAnsi="Aptos" w:cs="Aptos"/>
                <w:color w:val="000000" w:themeColor="text1"/>
              </w:rPr>
              <w:t>Within roofing, m</w:t>
            </w:r>
            <w:r w:rsidRPr="00E457C4">
              <w:rPr>
                <w:rFonts w:ascii="Aptos" w:eastAsia="Aptos" w:hAnsi="Aptos" w:cs="Aptos"/>
                <w:color w:val="000000" w:themeColor="text1"/>
              </w:rPr>
              <w:t xml:space="preserve">anufacturer and workmanship-backed guarantees outperform retentions in protecting clients, with defect liability periods commonly ranging from 5-30 years, far exceeding the standard two-year defect liability period of retention clauses. We would also expect that industry behaviour </w:t>
            </w:r>
            <w:r>
              <w:rPr>
                <w:rFonts w:ascii="Aptos" w:eastAsia="Aptos" w:hAnsi="Aptos" w:cs="Aptos"/>
                <w:color w:val="000000" w:themeColor="text1"/>
              </w:rPr>
              <w:t xml:space="preserve">would </w:t>
            </w:r>
            <w:r w:rsidRPr="00E457C4">
              <w:rPr>
                <w:rFonts w:ascii="Aptos" w:eastAsia="Aptos" w:hAnsi="Aptos" w:cs="Aptos"/>
                <w:color w:val="000000" w:themeColor="text1"/>
              </w:rPr>
              <w:t xml:space="preserve"> adapt to form stronger supply chain relationships. There must be an increased focus on strong pre-qualification and supply chain management, strategic pipeline/framework/dynamic purchasing relationships and early supply chain involvement. If they are financially robust, a good specification is in place, good quality control exists and the approach is collaborative, there is no need for cash retention. Our view is that cash retention has driven a lowest price approach and, over the long term</w:t>
            </w:r>
            <w:r>
              <w:rPr>
                <w:rFonts w:ascii="Aptos" w:eastAsia="Aptos" w:hAnsi="Aptos" w:cs="Aptos"/>
                <w:color w:val="000000" w:themeColor="text1"/>
              </w:rPr>
              <w:t>,</w:t>
            </w:r>
            <w:r w:rsidRPr="00E457C4">
              <w:rPr>
                <w:rFonts w:ascii="Aptos" w:eastAsia="Aptos" w:hAnsi="Aptos" w:cs="Aptos"/>
                <w:color w:val="000000" w:themeColor="text1"/>
              </w:rPr>
              <w:t xml:space="preserve"> </w:t>
            </w:r>
            <w:r>
              <w:rPr>
                <w:rFonts w:ascii="Aptos" w:eastAsia="Aptos" w:hAnsi="Aptos" w:cs="Aptos"/>
                <w:color w:val="000000" w:themeColor="text1"/>
              </w:rPr>
              <w:t xml:space="preserve">resulted in </w:t>
            </w:r>
            <w:r w:rsidRPr="00E457C4">
              <w:rPr>
                <w:rFonts w:ascii="Aptos" w:eastAsia="Aptos" w:hAnsi="Aptos" w:cs="Aptos"/>
                <w:color w:val="000000" w:themeColor="text1"/>
              </w:rPr>
              <w:t>sub-optimal margins</w:t>
            </w:r>
            <w:r>
              <w:rPr>
                <w:rFonts w:ascii="Aptos" w:eastAsia="Aptos" w:hAnsi="Aptos" w:cs="Aptos"/>
                <w:color w:val="000000" w:themeColor="text1"/>
              </w:rPr>
              <w:t>,</w:t>
            </w:r>
            <w:r w:rsidRPr="00E457C4">
              <w:rPr>
                <w:rFonts w:ascii="Aptos" w:eastAsia="Aptos" w:hAnsi="Aptos" w:cs="Aptos"/>
                <w:color w:val="000000" w:themeColor="text1"/>
              </w:rPr>
              <w:t xml:space="preserve"> compromis</w:t>
            </w:r>
            <w:r>
              <w:rPr>
                <w:rFonts w:ascii="Aptos" w:eastAsia="Aptos" w:hAnsi="Aptos" w:cs="Aptos"/>
                <w:color w:val="000000" w:themeColor="text1"/>
              </w:rPr>
              <w:t>ing</w:t>
            </w:r>
            <w:r w:rsidRPr="00E457C4">
              <w:rPr>
                <w:rFonts w:ascii="Aptos" w:eastAsia="Aptos" w:hAnsi="Aptos" w:cs="Aptos"/>
                <w:color w:val="000000" w:themeColor="text1"/>
              </w:rPr>
              <w:t xml:space="preserve"> quality.</w:t>
            </w:r>
          </w:p>
        </w:tc>
      </w:tr>
    </w:tbl>
    <w:p w14:paraId="72ECA50C" w14:textId="77777777" w:rsidR="00DC52A8" w:rsidRDefault="00DC52A8">
      <w:r>
        <w:br w:type="page"/>
      </w:r>
    </w:p>
    <w:tbl>
      <w:tblPr>
        <w:tblStyle w:val="TableGrid"/>
        <w:tblW w:w="9067" w:type="dxa"/>
        <w:tblLayout w:type="fixed"/>
        <w:tblLook w:val="06A0" w:firstRow="1" w:lastRow="0" w:firstColumn="1" w:lastColumn="0" w:noHBand="1" w:noVBand="1"/>
      </w:tblPr>
      <w:tblGrid>
        <w:gridCol w:w="4508"/>
        <w:gridCol w:w="4508"/>
        <w:gridCol w:w="51"/>
      </w:tblGrid>
      <w:tr w:rsidR="00DC52A8" w14:paraId="210E0BE3" w14:textId="77777777" w:rsidTr="007A3FE9">
        <w:trPr>
          <w:gridAfter w:val="1"/>
          <w:wAfter w:w="51" w:type="dxa"/>
          <w:trHeight w:val="300"/>
        </w:trPr>
        <w:tc>
          <w:tcPr>
            <w:tcW w:w="4508" w:type="dxa"/>
            <w:shd w:val="clear" w:color="auto" w:fill="D9D9D9" w:themeFill="background1" w:themeFillShade="D9"/>
          </w:tcPr>
          <w:p w14:paraId="7B84C25B"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2F2106C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435F1D3B" w14:textId="77777777" w:rsidTr="007A3FE9">
        <w:trPr>
          <w:trHeight w:val="300"/>
        </w:trPr>
        <w:tc>
          <w:tcPr>
            <w:tcW w:w="4508" w:type="dxa"/>
          </w:tcPr>
          <w:p w14:paraId="7683B54F" w14:textId="414C60B0"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19 </w:t>
            </w:r>
            <w:r w:rsidRPr="582284F0">
              <w:rPr>
                <w:rFonts w:ascii="Aptos" w:eastAsia="Aptos" w:hAnsi="Aptos" w:cs="Aptos"/>
                <w:color w:val="000000" w:themeColor="text1"/>
              </w:rPr>
              <w:t xml:space="preserve">What length of transitional period would be required for a payer to adjust to the ban measure? Please explain the reasons for your answer. </w:t>
            </w:r>
          </w:p>
          <w:p w14:paraId="0006106C" w14:textId="3EBF48FE" w:rsidR="582284F0" w:rsidRDefault="582284F0" w:rsidP="582284F0">
            <w:pPr>
              <w:ind w:left="720"/>
              <w:rPr>
                <w:rFonts w:ascii="Aptos" w:eastAsia="Aptos" w:hAnsi="Aptos" w:cs="Aptos"/>
                <w:color w:val="000000" w:themeColor="text1"/>
              </w:rPr>
            </w:pPr>
          </w:p>
          <w:p w14:paraId="495B2EDF" w14:textId="40024806" w:rsidR="582284F0" w:rsidRDefault="582284F0" w:rsidP="582284F0">
            <w:pPr>
              <w:rPr>
                <w:rFonts w:ascii="Aptos" w:eastAsia="Aptos" w:hAnsi="Aptos" w:cs="Aptos"/>
                <w:color w:val="FF0000"/>
              </w:rPr>
            </w:pPr>
          </w:p>
        </w:tc>
        <w:tc>
          <w:tcPr>
            <w:tcW w:w="4559" w:type="dxa"/>
            <w:gridSpan w:val="2"/>
          </w:tcPr>
          <w:p w14:paraId="3D81A8A8" w14:textId="3FB1266A"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With projects averaging 18 months, no more than 24 months should be required to allow industry to transition and ensure business models can cope. </w:t>
            </w:r>
          </w:p>
        </w:tc>
      </w:tr>
      <w:tr w:rsidR="582284F0" w14:paraId="1671C0EE" w14:textId="77777777" w:rsidTr="007A3FE9">
        <w:trPr>
          <w:gridAfter w:val="1"/>
          <w:wAfter w:w="51" w:type="dxa"/>
          <w:trHeight w:val="300"/>
        </w:trPr>
        <w:tc>
          <w:tcPr>
            <w:tcW w:w="4508" w:type="dxa"/>
          </w:tcPr>
          <w:p w14:paraId="6B7ED527" w14:textId="3D94187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20 </w:t>
            </w:r>
            <w:r w:rsidRPr="582284F0">
              <w:rPr>
                <w:rFonts w:ascii="Aptos" w:eastAsia="Aptos" w:hAnsi="Aptos" w:cs="Aptos"/>
                <w:color w:val="000000" w:themeColor="text1"/>
              </w:rPr>
              <w:t>Please provide an estimate and an explanation of any costs firms would incur as the result of prohibiting the use of retention clauses in construction contracts.</w:t>
            </w:r>
          </w:p>
        </w:tc>
        <w:tc>
          <w:tcPr>
            <w:tcW w:w="4508" w:type="dxa"/>
          </w:tcPr>
          <w:p w14:paraId="3C88AAC9" w14:textId="746AECC8"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Some payers may see decreases in their profits in the short term, but this should not be considered a loss, as such profits were often gained at the expense of the wider construction industry. </w:t>
            </w:r>
          </w:p>
          <w:p w14:paraId="4639C5D3" w14:textId="3209BD5F"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 xml:space="preserve">Accounting for this will require some businesses to adjust their business model so that it does not rely on retention funds as freely available working capital to finance their own operations. </w:t>
            </w:r>
          </w:p>
          <w:p w14:paraId="66ACE98A" w14:textId="1FB6AF7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Any purported losses in productivity at the top by these large firms would be more than compensated by payee cost savings and productivity gains as SME businesses would no longer incur the significant overheads and costs of chasing retentions.</w:t>
            </w:r>
          </w:p>
        </w:tc>
      </w:tr>
    </w:tbl>
    <w:p w14:paraId="187662F4"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78D05296" w14:textId="77777777" w:rsidTr="009E54B9">
        <w:trPr>
          <w:trHeight w:val="300"/>
        </w:trPr>
        <w:tc>
          <w:tcPr>
            <w:tcW w:w="4508" w:type="dxa"/>
            <w:shd w:val="clear" w:color="auto" w:fill="D9D9D9" w:themeFill="background1" w:themeFillShade="D9"/>
          </w:tcPr>
          <w:p w14:paraId="10BEE4DD"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065EAAEF"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54D12295" w14:textId="77777777" w:rsidTr="582284F0">
        <w:trPr>
          <w:trHeight w:val="300"/>
        </w:trPr>
        <w:tc>
          <w:tcPr>
            <w:tcW w:w="4508" w:type="dxa"/>
          </w:tcPr>
          <w:p w14:paraId="617A2496" w14:textId="041DCA06" w:rsidR="6F581C32" w:rsidRDefault="6F581C32" w:rsidP="582284F0">
            <w:pPr>
              <w:rPr>
                <w:rFonts w:ascii="Aptos" w:eastAsia="Aptos" w:hAnsi="Aptos" w:cs="Aptos"/>
                <w:color w:val="000000" w:themeColor="text1"/>
              </w:rPr>
            </w:pPr>
            <w:r w:rsidRPr="582284F0">
              <w:rPr>
                <w:rFonts w:ascii="Aptos" w:eastAsia="Aptos" w:hAnsi="Aptos" w:cs="Aptos"/>
                <w:color w:val="FF0000"/>
              </w:rPr>
              <w:t>21a</w:t>
            </w:r>
            <w:r w:rsidRPr="582284F0">
              <w:rPr>
                <w:rFonts w:ascii="Aptos" w:eastAsia="Aptos" w:hAnsi="Aptos" w:cs="Aptos"/>
                <w:color w:val="000000" w:themeColor="text1"/>
              </w:rPr>
              <w:t xml:space="preserve"> To what extent do you agree that requirements to protect retention sums deducted and withheld under retention clauses in construction contracts would be effective in addressing the stated problems associated with retention?</w:t>
            </w:r>
          </w:p>
          <w:p w14:paraId="713E4DCC" w14:textId="0B6F4782" w:rsidR="582284F0" w:rsidRDefault="582284F0" w:rsidP="582284F0">
            <w:pPr>
              <w:rPr>
                <w:rFonts w:ascii="Aptos" w:eastAsia="Aptos" w:hAnsi="Aptos" w:cs="Aptos"/>
                <w:color w:val="FF0000"/>
              </w:rPr>
            </w:pPr>
          </w:p>
        </w:tc>
        <w:tc>
          <w:tcPr>
            <w:tcW w:w="4508" w:type="dxa"/>
          </w:tcPr>
          <w:p w14:paraId="6152C9E6" w14:textId="7DF92297" w:rsidR="6F581C32" w:rsidRDefault="00E457C4" w:rsidP="582284F0">
            <w:pPr>
              <w:rPr>
                <w:rFonts w:ascii="Aptos" w:eastAsia="Aptos" w:hAnsi="Aptos" w:cs="Aptos"/>
                <w:color w:val="000000" w:themeColor="text1"/>
              </w:rPr>
            </w:pPr>
            <w:r>
              <w:rPr>
                <w:rFonts w:ascii="Aptos" w:eastAsia="Aptos" w:hAnsi="Aptos" w:cs="Aptos"/>
                <w:color w:val="000000" w:themeColor="text1"/>
              </w:rPr>
              <w:t>Strongly Agree</w:t>
            </w:r>
          </w:p>
        </w:tc>
      </w:tr>
      <w:tr w:rsidR="582284F0" w14:paraId="249F88CD" w14:textId="77777777" w:rsidTr="582284F0">
        <w:trPr>
          <w:trHeight w:val="300"/>
        </w:trPr>
        <w:tc>
          <w:tcPr>
            <w:tcW w:w="4508" w:type="dxa"/>
          </w:tcPr>
          <w:p w14:paraId="1E73841A" w14:textId="1851BB3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21b </w:t>
            </w:r>
            <w:r w:rsidRPr="582284F0">
              <w:rPr>
                <w:rFonts w:ascii="Aptos" w:eastAsia="Aptos" w:hAnsi="Aptos" w:cs="Aptos"/>
                <w:color w:val="000000" w:themeColor="text1"/>
              </w:rPr>
              <w:t>Please explain the reasons for your answer to question 21a.</w:t>
            </w:r>
          </w:p>
          <w:p w14:paraId="5E19079D" w14:textId="2FDCCAF4" w:rsidR="582284F0" w:rsidRDefault="582284F0" w:rsidP="582284F0">
            <w:pPr>
              <w:rPr>
                <w:rFonts w:ascii="Aptos" w:eastAsia="Aptos" w:hAnsi="Aptos" w:cs="Aptos"/>
                <w:color w:val="FF0000"/>
              </w:rPr>
            </w:pPr>
          </w:p>
        </w:tc>
        <w:tc>
          <w:tcPr>
            <w:tcW w:w="4508" w:type="dxa"/>
          </w:tcPr>
          <w:p w14:paraId="01D27C7E" w14:textId="454B2DC2" w:rsidR="6F581C32" w:rsidRDefault="00976EE2" w:rsidP="582284F0">
            <w:pPr>
              <w:rPr>
                <w:rFonts w:ascii="Aptos" w:eastAsia="Aptos" w:hAnsi="Aptos" w:cs="Aptos"/>
                <w:color w:val="000000" w:themeColor="text1"/>
              </w:rPr>
            </w:pPr>
            <w:r w:rsidRPr="00976EE2">
              <w:rPr>
                <w:rFonts w:ascii="Aptos" w:eastAsia="Aptos" w:hAnsi="Aptos" w:cs="Aptos"/>
                <w:color w:val="000000" w:themeColor="text1"/>
              </w:rPr>
              <w:t>Clients will always look for security against the risks of: a) supplier insolvency, and b) failure to remediate defects. The problems of retentions surround the abuse of retentions and the loss due to insolvency, more than the concept. Protection would give both client and supplier the security and protection needed and has been proven to work in other similar jurisdictions.</w:t>
            </w:r>
          </w:p>
        </w:tc>
      </w:tr>
      <w:tr w:rsidR="00976EE2" w14:paraId="79FD7F54" w14:textId="77777777" w:rsidTr="00976EE2">
        <w:tblPrEx>
          <w:tblLook w:val="04A0" w:firstRow="1" w:lastRow="0" w:firstColumn="1" w:lastColumn="0" w:noHBand="0" w:noVBand="1"/>
        </w:tblPrEx>
        <w:trPr>
          <w:trHeight w:val="300"/>
        </w:trPr>
        <w:tc>
          <w:tcPr>
            <w:tcW w:w="4508" w:type="dxa"/>
          </w:tcPr>
          <w:p w14:paraId="1DE4E383" w14:textId="77777777" w:rsidR="00976EE2" w:rsidRDefault="00976EE2" w:rsidP="00EB244C">
            <w:pPr>
              <w:rPr>
                <w:rFonts w:ascii="Aptos" w:eastAsia="Aptos" w:hAnsi="Aptos" w:cs="Aptos"/>
                <w:color w:val="000000" w:themeColor="text1"/>
              </w:rPr>
            </w:pPr>
            <w:r w:rsidRPr="582284F0">
              <w:rPr>
                <w:rFonts w:ascii="Aptos" w:eastAsia="Aptos" w:hAnsi="Aptos" w:cs="Aptos"/>
                <w:color w:val="FF0000"/>
              </w:rPr>
              <w:t>22a</w:t>
            </w:r>
            <w:r w:rsidRPr="582284F0">
              <w:rPr>
                <w:rFonts w:ascii="Aptos" w:eastAsia="Aptos" w:hAnsi="Aptos" w:cs="Aptos"/>
                <w:color w:val="000000" w:themeColor="text1"/>
              </w:rPr>
              <w:t xml:space="preserve"> What would be the preferred mechanism of a payer to protect the retention sums?</w:t>
            </w:r>
          </w:p>
          <w:p w14:paraId="70F8ECE2" w14:textId="77777777" w:rsidR="00976EE2" w:rsidRDefault="00976EE2" w:rsidP="00EB244C">
            <w:pPr>
              <w:rPr>
                <w:rFonts w:ascii="Aptos" w:eastAsia="Aptos" w:hAnsi="Aptos" w:cs="Aptos"/>
                <w:color w:val="FF0000"/>
              </w:rPr>
            </w:pPr>
          </w:p>
        </w:tc>
        <w:tc>
          <w:tcPr>
            <w:tcW w:w="4508" w:type="dxa"/>
          </w:tcPr>
          <w:p w14:paraId="18A48135" w14:textId="77777777" w:rsidR="00976EE2" w:rsidRDefault="00976EE2" w:rsidP="00EB244C">
            <w:pPr>
              <w:rPr>
                <w:rFonts w:ascii="Aptos" w:eastAsia="Aptos" w:hAnsi="Aptos" w:cs="Aptos"/>
                <w:color w:val="000000" w:themeColor="text1"/>
              </w:rPr>
            </w:pPr>
            <w:r w:rsidRPr="00976EE2">
              <w:rPr>
                <w:rFonts w:ascii="Aptos" w:eastAsia="Aptos" w:hAnsi="Aptos" w:cs="Aptos"/>
                <w:color w:val="000000" w:themeColor="text1"/>
              </w:rPr>
              <w:t xml:space="preserve">Protection via a trust account.  </w:t>
            </w:r>
          </w:p>
        </w:tc>
      </w:tr>
    </w:tbl>
    <w:p w14:paraId="01E68DC7" w14:textId="335ED9CA" w:rsidR="00DC52A8" w:rsidRDefault="00DC52A8" w:rsidP="582284F0">
      <w:pPr>
        <w:spacing w:after="0"/>
        <w:rPr>
          <w:rFonts w:ascii="Aptos" w:eastAsia="Aptos" w:hAnsi="Aptos" w:cs="Aptos"/>
          <w:color w:val="FF0000"/>
        </w:rPr>
      </w:pPr>
    </w:p>
    <w:p w14:paraId="52605ABA" w14:textId="77777777" w:rsidR="00DC52A8" w:rsidRDefault="00DC52A8">
      <w:pPr>
        <w:rPr>
          <w:rFonts w:ascii="Aptos" w:eastAsia="Aptos" w:hAnsi="Aptos" w:cs="Aptos"/>
          <w:color w:val="FF0000"/>
        </w:rPr>
      </w:pPr>
      <w:r>
        <w:rPr>
          <w:rFonts w:ascii="Aptos" w:eastAsia="Aptos" w:hAnsi="Aptos" w:cs="Aptos"/>
          <w:color w:val="FF0000"/>
        </w:rPr>
        <w:br w:type="page"/>
      </w:r>
    </w:p>
    <w:tbl>
      <w:tblPr>
        <w:tblStyle w:val="TableGrid"/>
        <w:tblW w:w="0" w:type="auto"/>
        <w:tblLayout w:type="fixed"/>
        <w:tblLook w:val="06A0" w:firstRow="1" w:lastRow="0" w:firstColumn="1" w:lastColumn="0" w:noHBand="1" w:noVBand="1"/>
      </w:tblPr>
      <w:tblGrid>
        <w:gridCol w:w="4508"/>
        <w:gridCol w:w="4508"/>
      </w:tblGrid>
      <w:tr w:rsidR="00DC52A8" w14:paraId="31AFD94B" w14:textId="77777777" w:rsidTr="009E54B9">
        <w:trPr>
          <w:trHeight w:val="300"/>
        </w:trPr>
        <w:tc>
          <w:tcPr>
            <w:tcW w:w="4508" w:type="dxa"/>
            <w:shd w:val="clear" w:color="auto" w:fill="D9D9D9" w:themeFill="background1" w:themeFillShade="D9"/>
          </w:tcPr>
          <w:p w14:paraId="55857D3E"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7D228E09"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0B8F0668" w14:textId="77777777" w:rsidTr="0061356F">
        <w:trPr>
          <w:trHeight w:val="70"/>
        </w:trPr>
        <w:tc>
          <w:tcPr>
            <w:tcW w:w="4508" w:type="dxa"/>
          </w:tcPr>
          <w:p w14:paraId="5FAF61C7" w14:textId="5232447F" w:rsidR="582284F0" w:rsidRDefault="582284F0" w:rsidP="582284F0">
            <w:pPr>
              <w:rPr>
                <w:rFonts w:ascii="Aptos" w:eastAsia="Aptos" w:hAnsi="Aptos" w:cs="Aptos"/>
                <w:color w:val="FF0000"/>
              </w:rPr>
            </w:pPr>
          </w:p>
        </w:tc>
        <w:tc>
          <w:tcPr>
            <w:tcW w:w="4508" w:type="dxa"/>
          </w:tcPr>
          <w:p w14:paraId="34E38356" w14:textId="4C02AE48" w:rsidR="6F581C32" w:rsidRDefault="6F581C32" w:rsidP="582284F0">
            <w:pPr>
              <w:rPr>
                <w:rFonts w:ascii="Aptos" w:eastAsia="Aptos" w:hAnsi="Aptos" w:cs="Aptos"/>
                <w:color w:val="000000" w:themeColor="text1"/>
              </w:rPr>
            </w:pPr>
          </w:p>
        </w:tc>
      </w:tr>
      <w:tr w:rsidR="582284F0" w14:paraId="65EB6AD5" w14:textId="77777777" w:rsidTr="582284F0">
        <w:trPr>
          <w:trHeight w:val="300"/>
        </w:trPr>
        <w:tc>
          <w:tcPr>
            <w:tcW w:w="4508" w:type="dxa"/>
          </w:tcPr>
          <w:p w14:paraId="3ECF3396" w14:textId="46580BB9"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22b </w:t>
            </w:r>
            <w:r w:rsidRPr="582284F0">
              <w:rPr>
                <w:rFonts w:ascii="Aptos" w:eastAsia="Aptos" w:hAnsi="Aptos" w:cs="Aptos"/>
                <w:color w:val="000000" w:themeColor="text1"/>
              </w:rPr>
              <w:t>Please explain the reasons for your answer to question 22a.</w:t>
            </w:r>
          </w:p>
          <w:p w14:paraId="4EE6367A" w14:textId="1493A750" w:rsidR="582284F0" w:rsidRDefault="582284F0" w:rsidP="582284F0">
            <w:pPr>
              <w:rPr>
                <w:rFonts w:ascii="Aptos" w:eastAsia="Aptos" w:hAnsi="Aptos" w:cs="Aptos"/>
                <w:color w:val="FF0000"/>
              </w:rPr>
            </w:pPr>
          </w:p>
        </w:tc>
        <w:tc>
          <w:tcPr>
            <w:tcW w:w="4508" w:type="dxa"/>
          </w:tcPr>
          <w:p w14:paraId="32625882" w14:textId="03A2504F" w:rsidR="6F581C32" w:rsidRDefault="00976EE2" w:rsidP="582284F0">
            <w:pPr>
              <w:rPr>
                <w:rFonts w:ascii="Aptos" w:eastAsia="Aptos" w:hAnsi="Aptos" w:cs="Aptos"/>
                <w:color w:val="000000" w:themeColor="text1"/>
              </w:rPr>
            </w:pPr>
            <w:r w:rsidRPr="00976EE2">
              <w:rPr>
                <w:rFonts w:ascii="Aptos" w:eastAsia="Aptos" w:hAnsi="Aptos" w:cs="Aptos"/>
                <w:color w:val="000000" w:themeColor="text1"/>
              </w:rPr>
              <w:t xml:space="preserve">For payers, it would be preferable if retention funds could be used alongside working capital but kept separate and protected in the event of insolvency. However, from a payee’s perspective, having retention sums placed into a protected trust account and identified as belonging to the payee would be a preferable way of ensuring security. Co-mingling has been proven not to work, whereas protection via trust accounts is fully operational and working as an industry norm in New Zealand. In recent years, it has been recognised that there is as much risk of large firm insolvency as there is of SME insolvency so we feel the system should be fair and proportionate to all parties. </w:t>
            </w:r>
          </w:p>
        </w:tc>
      </w:tr>
      <w:tr w:rsidR="582284F0" w14:paraId="59FDED6F" w14:textId="77777777" w:rsidTr="582284F0">
        <w:trPr>
          <w:trHeight w:val="300"/>
        </w:trPr>
        <w:tc>
          <w:tcPr>
            <w:tcW w:w="4508" w:type="dxa"/>
          </w:tcPr>
          <w:p w14:paraId="62E1AD8A" w14:textId="0B311787" w:rsidR="6F581C32" w:rsidRDefault="6F581C32" w:rsidP="582284F0">
            <w:pPr>
              <w:rPr>
                <w:rFonts w:ascii="Aptos" w:eastAsia="Aptos" w:hAnsi="Aptos" w:cs="Aptos"/>
                <w:color w:val="000000" w:themeColor="text1"/>
              </w:rPr>
            </w:pPr>
            <w:r w:rsidRPr="582284F0">
              <w:rPr>
                <w:rFonts w:ascii="Aptos" w:eastAsia="Aptos" w:hAnsi="Aptos" w:cs="Aptos"/>
                <w:color w:val="FF0000"/>
              </w:rPr>
              <w:t>23</w:t>
            </w:r>
            <w:r w:rsidRPr="582284F0">
              <w:rPr>
                <w:rFonts w:ascii="Aptos" w:eastAsia="Aptos" w:hAnsi="Aptos" w:cs="Aptos"/>
                <w:color w:val="000000" w:themeColor="text1"/>
              </w:rPr>
              <w:t xml:space="preserve"> What length of transitional period would be required for a payer to adjust to the retention protection measure? Please explain the reasons for your answer.</w:t>
            </w:r>
          </w:p>
          <w:p w14:paraId="35508594" w14:textId="472A8D4F" w:rsidR="582284F0" w:rsidRDefault="582284F0" w:rsidP="582284F0">
            <w:pPr>
              <w:rPr>
                <w:rFonts w:ascii="Aptos" w:eastAsia="Aptos" w:hAnsi="Aptos" w:cs="Aptos"/>
                <w:color w:val="FF0000"/>
              </w:rPr>
            </w:pPr>
          </w:p>
        </w:tc>
        <w:tc>
          <w:tcPr>
            <w:tcW w:w="4508" w:type="dxa"/>
          </w:tcPr>
          <w:p w14:paraId="57941EA1" w14:textId="3E576B62" w:rsidR="6F581C32" w:rsidRDefault="6F581C32" w:rsidP="582284F0">
            <w:pPr>
              <w:rPr>
                <w:rFonts w:ascii="Aptos" w:eastAsia="Aptos" w:hAnsi="Aptos" w:cs="Aptos"/>
                <w:color w:val="000000" w:themeColor="text1"/>
              </w:rPr>
            </w:pPr>
            <w:r w:rsidRPr="582284F0">
              <w:rPr>
                <w:rFonts w:ascii="Aptos" w:eastAsia="Aptos" w:hAnsi="Aptos" w:cs="Aptos"/>
                <w:color w:val="000000" w:themeColor="text1"/>
              </w:rPr>
              <w:t>With projects averaging 18 months, no more than 24 months should be required to allow industry to transition and ensure business models can cope. The capabilities of financial technology services are expanding rapidly, which will assist with adaptation. 24 months would also allow for contract bodies to adjust their templates appropriately with due consultation.</w:t>
            </w:r>
          </w:p>
        </w:tc>
      </w:tr>
      <w:tr w:rsidR="582284F0" w14:paraId="28A71BDA" w14:textId="77777777" w:rsidTr="582284F0">
        <w:trPr>
          <w:trHeight w:val="300"/>
        </w:trPr>
        <w:tc>
          <w:tcPr>
            <w:tcW w:w="4508" w:type="dxa"/>
          </w:tcPr>
          <w:p w14:paraId="5672DD40" w14:textId="1C1472DA" w:rsidR="6F581C32" w:rsidRDefault="6F581C32" w:rsidP="582284F0">
            <w:pPr>
              <w:rPr>
                <w:rFonts w:ascii="Aptos" w:eastAsia="Aptos" w:hAnsi="Aptos" w:cs="Aptos"/>
                <w:color w:val="000000" w:themeColor="text1"/>
              </w:rPr>
            </w:pPr>
            <w:r w:rsidRPr="582284F0">
              <w:rPr>
                <w:rFonts w:ascii="Aptos" w:eastAsia="Aptos" w:hAnsi="Aptos" w:cs="Aptos"/>
                <w:color w:val="FF0000"/>
              </w:rPr>
              <w:t>24a</w:t>
            </w:r>
            <w:r w:rsidRPr="582284F0">
              <w:rPr>
                <w:rFonts w:ascii="Aptos" w:eastAsia="Aptos" w:hAnsi="Aptos" w:cs="Aptos"/>
                <w:color w:val="000000" w:themeColor="text1"/>
              </w:rPr>
              <w:t xml:space="preserve"> To what extent do you agree with the proposed features of the retention protection measure?</w:t>
            </w:r>
          </w:p>
        </w:tc>
        <w:tc>
          <w:tcPr>
            <w:tcW w:w="4508" w:type="dxa"/>
          </w:tcPr>
          <w:p w14:paraId="010EA1DD" w14:textId="40E5D176" w:rsidR="6F581C32" w:rsidRDefault="00976EE2" w:rsidP="582284F0">
            <w:pPr>
              <w:rPr>
                <w:rFonts w:ascii="Aptos" w:eastAsia="Aptos" w:hAnsi="Aptos" w:cs="Aptos"/>
                <w:color w:val="000000" w:themeColor="text1"/>
              </w:rPr>
            </w:pPr>
            <w:r w:rsidRPr="00976EE2">
              <w:rPr>
                <w:rFonts w:ascii="Aptos" w:eastAsia="Aptos" w:hAnsi="Aptos" w:cs="Aptos"/>
                <w:color w:val="000000" w:themeColor="text1"/>
              </w:rPr>
              <w:t xml:space="preserve">Strongly agree  </w:t>
            </w:r>
          </w:p>
        </w:tc>
      </w:tr>
      <w:tr w:rsidR="582284F0" w14:paraId="2609304F" w14:textId="77777777" w:rsidTr="582284F0">
        <w:trPr>
          <w:trHeight w:val="300"/>
        </w:trPr>
        <w:tc>
          <w:tcPr>
            <w:tcW w:w="4508" w:type="dxa"/>
          </w:tcPr>
          <w:p w14:paraId="41F0EF9C" w14:textId="3ED4BFA1"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24b </w:t>
            </w:r>
            <w:r w:rsidRPr="582284F0">
              <w:rPr>
                <w:rFonts w:ascii="Aptos" w:eastAsia="Aptos" w:hAnsi="Aptos" w:cs="Aptos"/>
                <w:color w:val="000000" w:themeColor="text1"/>
              </w:rPr>
              <w:t>Please explain the reasons for your answer to question 24a, including any further features to the design and operation of this retention protection measure that you would recommend.</w:t>
            </w:r>
          </w:p>
        </w:tc>
        <w:tc>
          <w:tcPr>
            <w:tcW w:w="4508" w:type="dxa"/>
          </w:tcPr>
          <w:p w14:paraId="1B329F9F" w14:textId="2F0E0C0C" w:rsidR="582284F0" w:rsidRDefault="00976EE2" w:rsidP="582284F0">
            <w:pPr>
              <w:rPr>
                <w:rFonts w:ascii="Aptos" w:eastAsia="Aptos" w:hAnsi="Aptos" w:cs="Aptos"/>
                <w:color w:val="000000" w:themeColor="text1"/>
              </w:rPr>
            </w:pPr>
            <w:r w:rsidRPr="00976EE2">
              <w:rPr>
                <w:rFonts w:ascii="Aptos" w:eastAsia="Aptos" w:hAnsi="Aptos" w:cs="Aptos"/>
                <w:color w:val="000000" w:themeColor="text1"/>
              </w:rPr>
              <w:t xml:space="preserve">We think that taking retentions from the final payment only and holding them in a protected fund is fairer than abolition to all parties and has been proven to work in other parts of the world. </w:t>
            </w:r>
          </w:p>
        </w:tc>
      </w:tr>
      <w:tr w:rsidR="582284F0" w14:paraId="11B5045E" w14:textId="77777777" w:rsidTr="582284F0">
        <w:trPr>
          <w:trHeight w:val="300"/>
        </w:trPr>
        <w:tc>
          <w:tcPr>
            <w:tcW w:w="4508" w:type="dxa"/>
          </w:tcPr>
          <w:p w14:paraId="073D7C08" w14:textId="5C095AA2"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25 </w:t>
            </w:r>
            <w:r w:rsidRPr="582284F0">
              <w:rPr>
                <w:rFonts w:ascii="Aptos" w:eastAsia="Aptos" w:hAnsi="Aptos" w:cs="Aptos"/>
                <w:color w:val="000000" w:themeColor="text1"/>
              </w:rPr>
              <w:t>Please provide an estimate and an explanation of any costs firms would incur as the result of the introduction of a framework for protecting retention sums.</w:t>
            </w:r>
          </w:p>
        </w:tc>
        <w:tc>
          <w:tcPr>
            <w:tcW w:w="4508" w:type="dxa"/>
          </w:tcPr>
          <w:p w14:paraId="6B07EFF8" w14:textId="4D83731C" w:rsidR="6F581C32" w:rsidRDefault="00976EE2" w:rsidP="582284F0">
            <w:pPr>
              <w:rPr>
                <w:rFonts w:ascii="Aptos" w:eastAsia="Aptos" w:hAnsi="Aptos" w:cs="Aptos"/>
                <w:color w:val="000000" w:themeColor="text1"/>
              </w:rPr>
            </w:pPr>
            <w:r w:rsidRPr="00976EE2">
              <w:rPr>
                <w:rFonts w:ascii="Aptos" w:eastAsia="Aptos" w:hAnsi="Aptos" w:cs="Aptos"/>
                <w:color w:val="000000" w:themeColor="text1"/>
              </w:rPr>
              <w:t>This would be unsubstantiated guess work.</w:t>
            </w:r>
          </w:p>
        </w:tc>
      </w:tr>
      <w:tr w:rsidR="582284F0" w14:paraId="3969E950" w14:textId="77777777" w:rsidTr="582284F0">
        <w:trPr>
          <w:trHeight w:val="300"/>
        </w:trPr>
        <w:tc>
          <w:tcPr>
            <w:tcW w:w="4508" w:type="dxa"/>
          </w:tcPr>
          <w:p w14:paraId="770B6D79" w14:textId="068A87B4" w:rsidR="6F581C32" w:rsidRDefault="6F581C32" w:rsidP="582284F0">
            <w:pPr>
              <w:rPr>
                <w:rFonts w:ascii="Aptos" w:eastAsia="Aptos" w:hAnsi="Aptos" w:cs="Aptos"/>
                <w:color w:val="000000" w:themeColor="text1"/>
              </w:rPr>
            </w:pPr>
            <w:r w:rsidRPr="582284F0">
              <w:rPr>
                <w:rFonts w:ascii="Aptos" w:eastAsia="Aptos" w:hAnsi="Aptos" w:cs="Aptos"/>
                <w:color w:val="FF0000"/>
              </w:rPr>
              <w:t xml:space="preserve">26 </w:t>
            </w:r>
            <w:r w:rsidRPr="582284F0">
              <w:rPr>
                <w:rFonts w:ascii="Aptos" w:eastAsia="Aptos" w:hAnsi="Aptos" w:cs="Aptos"/>
                <w:color w:val="000000" w:themeColor="text1"/>
              </w:rPr>
              <w:t>Are there any potential unintended consequences or considerations that should be taken into account for the introduction of either proposed measure for the use of retention clauses in construction contracts? Please explain the reasons for your answer.</w:t>
            </w:r>
          </w:p>
        </w:tc>
        <w:tc>
          <w:tcPr>
            <w:tcW w:w="4508" w:type="dxa"/>
          </w:tcPr>
          <w:p w14:paraId="773DE078" w14:textId="3502E064" w:rsidR="6F581C32" w:rsidRDefault="00976EE2" w:rsidP="582284F0">
            <w:pPr>
              <w:rPr>
                <w:rFonts w:ascii="Aptos" w:eastAsia="Aptos" w:hAnsi="Aptos" w:cs="Aptos"/>
                <w:color w:val="000000" w:themeColor="text1"/>
              </w:rPr>
            </w:pPr>
            <w:r w:rsidRPr="00976EE2">
              <w:rPr>
                <w:rFonts w:ascii="Aptos" w:eastAsia="Aptos" w:hAnsi="Aptos" w:cs="Aptos"/>
                <w:color w:val="000000" w:themeColor="text1"/>
              </w:rPr>
              <w:t>N/A</w:t>
            </w:r>
          </w:p>
        </w:tc>
      </w:tr>
    </w:tbl>
    <w:p w14:paraId="615DDEFC" w14:textId="77777777" w:rsidR="00DC52A8" w:rsidRDefault="00DC52A8">
      <w:r>
        <w:br w:type="page"/>
      </w:r>
    </w:p>
    <w:tbl>
      <w:tblPr>
        <w:tblStyle w:val="TableGrid"/>
        <w:tblW w:w="0" w:type="auto"/>
        <w:tblLayout w:type="fixed"/>
        <w:tblLook w:val="06A0" w:firstRow="1" w:lastRow="0" w:firstColumn="1" w:lastColumn="0" w:noHBand="1" w:noVBand="1"/>
      </w:tblPr>
      <w:tblGrid>
        <w:gridCol w:w="4508"/>
        <w:gridCol w:w="4508"/>
      </w:tblGrid>
      <w:tr w:rsidR="00DC52A8" w14:paraId="32F66B6B" w14:textId="77777777" w:rsidTr="009E54B9">
        <w:trPr>
          <w:trHeight w:val="300"/>
        </w:trPr>
        <w:tc>
          <w:tcPr>
            <w:tcW w:w="4508" w:type="dxa"/>
            <w:shd w:val="clear" w:color="auto" w:fill="D9D9D9" w:themeFill="background1" w:themeFillShade="D9"/>
          </w:tcPr>
          <w:p w14:paraId="091DEFC0" w14:textId="15BF2793" w:rsidR="00DC52A8" w:rsidRDefault="00DC52A8">
            <w:pPr>
              <w:rPr>
                <w:rFonts w:ascii="Aptos" w:eastAsia="Aptos" w:hAnsi="Aptos" w:cs="Aptos"/>
                <w:color w:val="000000" w:themeColor="text1"/>
              </w:rPr>
            </w:pPr>
            <w:r w:rsidRPr="582284F0">
              <w:rPr>
                <w:rFonts w:ascii="Aptos" w:eastAsia="Aptos" w:hAnsi="Aptos" w:cs="Aptos"/>
                <w:color w:val="000000" w:themeColor="text1"/>
              </w:rPr>
              <w:lastRenderedPageBreak/>
              <w:t>Question</w:t>
            </w:r>
          </w:p>
        </w:tc>
        <w:tc>
          <w:tcPr>
            <w:tcW w:w="4508" w:type="dxa"/>
            <w:shd w:val="clear" w:color="auto" w:fill="D9D9D9" w:themeFill="background1" w:themeFillShade="D9"/>
          </w:tcPr>
          <w:p w14:paraId="5C8344E2" w14:textId="77777777" w:rsidR="00DC52A8" w:rsidRDefault="00DC52A8">
            <w:pPr>
              <w:rPr>
                <w:rFonts w:ascii="Aptos" w:eastAsia="Aptos" w:hAnsi="Aptos" w:cs="Aptos"/>
                <w:color w:val="000000" w:themeColor="text1"/>
              </w:rPr>
            </w:pPr>
            <w:r w:rsidRPr="582284F0">
              <w:rPr>
                <w:rFonts w:ascii="Aptos" w:eastAsia="Aptos" w:hAnsi="Aptos" w:cs="Aptos"/>
                <w:color w:val="000000" w:themeColor="text1"/>
              </w:rPr>
              <w:t>Suggested Response</w:t>
            </w:r>
          </w:p>
        </w:tc>
      </w:tr>
      <w:tr w:rsidR="582284F0" w14:paraId="6B5004EE" w14:textId="77777777" w:rsidTr="582284F0">
        <w:trPr>
          <w:trHeight w:val="300"/>
        </w:trPr>
        <w:tc>
          <w:tcPr>
            <w:tcW w:w="4508" w:type="dxa"/>
          </w:tcPr>
          <w:p w14:paraId="635063BC" w14:textId="35691F89" w:rsidR="582284F0" w:rsidRDefault="582284F0" w:rsidP="582284F0">
            <w:pPr>
              <w:rPr>
                <w:rFonts w:ascii="Aptos" w:eastAsia="Aptos" w:hAnsi="Aptos" w:cs="Aptos"/>
                <w:color w:val="000000" w:themeColor="text1"/>
              </w:rPr>
            </w:pPr>
            <w:r w:rsidRPr="582284F0">
              <w:rPr>
                <w:rFonts w:ascii="Aptos" w:eastAsia="Aptos" w:hAnsi="Aptos" w:cs="Aptos"/>
                <w:color w:val="FF0000"/>
              </w:rPr>
              <w:t xml:space="preserve">27 </w:t>
            </w:r>
            <w:r w:rsidRPr="582284F0">
              <w:rPr>
                <w:rFonts w:ascii="Aptos" w:eastAsia="Aptos" w:hAnsi="Aptos" w:cs="Aptos"/>
                <w:color w:val="000000" w:themeColor="text1"/>
              </w:rPr>
              <w:t>Do you have any further comments on either proposed measure for the use of retention clauses in construction contracts?</w:t>
            </w:r>
          </w:p>
        </w:tc>
        <w:tc>
          <w:tcPr>
            <w:tcW w:w="4508" w:type="dxa"/>
          </w:tcPr>
          <w:p w14:paraId="5FF741E2" w14:textId="21E2AFB4" w:rsidR="582284F0" w:rsidRDefault="00976EE2" w:rsidP="582284F0">
            <w:pPr>
              <w:rPr>
                <w:rFonts w:ascii="Aptos" w:eastAsia="Aptos" w:hAnsi="Aptos" w:cs="Aptos"/>
                <w:color w:val="000000" w:themeColor="text1"/>
              </w:rPr>
            </w:pPr>
            <w:r w:rsidRPr="00976EE2">
              <w:rPr>
                <w:rFonts w:ascii="Aptos" w:eastAsia="Aptos" w:hAnsi="Aptos" w:cs="Aptos"/>
                <w:color w:val="000000" w:themeColor="text1"/>
              </w:rPr>
              <w:t xml:space="preserve">We would support either option (abolition or protection), however we consider the option of protection will be more effective within the industry. Ultimately industry cannot carry on sustainably and deliver on the Government’s lofty missions (housing, skills, growth and infrastructure) and net-zero aspirations without reform to harmful retention practices.  </w:t>
            </w:r>
          </w:p>
        </w:tc>
      </w:tr>
      <w:tr w:rsidR="582284F0" w14:paraId="66AD701B" w14:textId="77777777" w:rsidTr="582284F0">
        <w:trPr>
          <w:trHeight w:val="300"/>
        </w:trPr>
        <w:tc>
          <w:tcPr>
            <w:tcW w:w="4508" w:type="dxa"/>
          </w:tcPr>
          <w:p w14:paraId="66CEF414" w14:textId="044BD3A4" w:rsidR="6D7F93B7" w:rsidRDefault="6D7F93B7" w:rsidP="582284F0">
            <w:pPr>
              <w:rPr>
                <w:rFonts w:ascii="Aptos" w:eastAsia="Aptos" w:hAnsi="Aptos" w:cs="Aptos"/>
                <w:color w:val="000000" w:themeColor="text1"/>
              </w:rPr>
            </w:pPr>
            <w:r w:rsidRPr="582284F0">
              <w:rPr>
                <w:rFonts w:ascii="Aptos" w:eastAsia="Aptos" w:hAnsi="Aptos" w:cs="Aptos"/>
                <w:color w:val="FF0000"/>
              </w:rPr>
              <w:t xml:space="preserve">28 </w:t>
            </w:r>
            <w:r w:rsidRPr="582284F0">
              <w:rPr>
                <w:rFonts w:ascii="Aptos" w:eastAsia="Aptos" w:hAnsi="Aptos" w:cs="Aptos"/>
                <w:color w:val="000000" w:themeColor="text1"/>
              </w:rPr>
              <w:t>Do you have any further comments on any elements of the proposals that might aid the consultation process as a whole?</w:t>
            </w:r>
          </w:p>
          <w:p w14:paraId="6A9C8849" w14:textId="15A0B1DA" w:rsidR="582284F0" w:rsidRDefault="582284F0" w:rsidP="582284F0">
            <w:pPr>
              <w:rPr>
                <w:rFonts w:ascii="Aptos" w:eastAsia="Aptos" w:hAnsi="Aptos" w:cs="Aptos"/>
                <w:color w:val="FF0000"/>
              </w:rPr>
            </w:pPr>
          </w:p>
        </w:tc>
        <w:tc>
          <w:tcPr>
            <w:tcW w:w="4508" w:type="dxa"/>
          </w:tcPr>
          <w:p w14:paraId="2D29E1C7" w14:textId="4C1C6B37" w:rsidR="6D7F93B7" w:rsidRDefault="6D7F93B7" w:rsidP="582284F0">
            <w:pPr>
              <w:rPr>
                <w:rFonts w:ascii="Aptos" w:eastAsia="Aptos" w:hAnsi="Aptos" w:cs="Aptos"/>
                <w:color w:val="000000" w:themeColor="text1"/>
              </w:rPr>
            </w:pPr>
            <w:r w:rsidRPr="582284F0">
              <w:rPr>
                <w:rFonts w:ascii="Aptos" w:eastAsia="Aptos" w:hAnsi="Aptos" w:cs="Aptos"/>
                <w:color w:val="000000" w:themeColor="text1"/>
              </w:rPr>
              <w:t>We have been encouraged by the Government’s Small Business Plan, Late Payment Research and consultation, but for Government to enable delivery on its missions, built-environment and net-zero ambitions, we need interventions in the ways this consultation describes. This consultation must lead to real reform, unlike past reviews of retention clauses that failed to materialise despite strong industry support.</w:t>
            </w:r>
          </w:p>
          <w:p w14:paraId="237AD0FC" w14:textId="79418938" w:rsidR="582284F0" w:rsidRDefault="582284F0" w:rsidP="582284F0">
            <w:pPr>
              <w:ind w:left="720"/>
              <w:rPr>
                <w:rFonts w:ascii="Aptos" w:eastAsia="Aptos" w:hAnsi="Aptos" w:cs="Aptos"/>
                <w:color w:val="000000" w:themeColor="text1"/>
              </w:rPr>
            </w:pPr>
          </w:p>
          <w:p w14:paraId="0D76D0CA" w14:textId="7683CF6B" w:rsidR="582284F0" w:rsidRDefault="582284F0" w:rsidP="582284F0">
            <w:pPr>
              <w:rPr>
                <w:rFonts w:ascii="Aptos" w:eastAsia="Aptos" w:hAnsi="Aptos" w:cs="Aptos"/>
                <w:color w:val="000000" w:themeColor="text1"/>
              </w:rPr>
            </w:pPr>
          </w:p>
        </w:tc>
      </w:tr>
    </w:tbl>
    <w:p w14:paraId="61C66404" w14:textId="6BEBFBEF" w:rsidR="582284F0" w:rsidRDefault="582284F0" w:rsidP="582284F0">
      <w:pPr>
        <w:spacing w:after="0"/>
        <w:rPr>
          <w:rFonts w:ascii="Aptos" w:eastAsia="Aptos" w:hAnsi="Aptos" w:cs="Aptos"/>
          <w:color w:val="FF0000"/>
        </w:rPr>
      </w:pPr>
    </w:p>
    <w:p w14:paraId="45188719" w14:textId="099DA3C0" w:rsidR="582284F0" w:rsidRDefault="582284F0" w:rsidP="582284F0">
      <w:pPr>
        <w:spacing w:after="0"/>
        <w:rPr>
          <w:rFonts w:ascii="Aptos" w:eastAsia="Aptos" w:hAnsi="Aptos" w:cs="Aptos"/>
          <w:color w:val="FF0000"/>
        </w:rPr>
      </w:pPr>
    </w:p>
    <w:p w14:paraId="5E5787A5" w14:textId="1B68AA7D" w:rsidR="00BC0338" w:rsidRDefault="00BC0338" w:rsidP="582284F0">
      <w:pPr>
        <w:spacing w:after="0"/>
        <w:ind w:left="720"/>
        <w:rPr>
          <w:rFonts w:ascii="Aptos" w:eastAsia="Aptos" w:hAnsi="Aptos" w:cs="Aptos"/>
          <w:color w:val="000000" w:themeColor="text1"/>
        </w:rPr>
      </w:pPr>
    </w:p>
    <w:sectPr w:rsidR="00BC0338" w:rsidSect="00E41F56">
      <w:headerReference w:type="default" r:id="rId13"/>
      <w:footerReference w:type="default" r:id="rId14"/>
      <w:pgSz w:w="11906" w:h="16838"/>
      <w:pgMar w:top="1134" w:right="1440" w:bottom="567" w:left="1440" w:header="720" w:footer="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807E" w14:textId="77777777" w:rsidR="00412539" w:rsidRDefault="00412539">
      <w:pPr>
        <w:spacing w:after="0" w:line="240" w:lineRule="auto"/>
      </w:pPr>
      <w:r>
        <w:separator/>
      </w:r>
    </w:p>
  </w:endnote>
  <w:endnote w:type="continuationSeparator" w:id="0">
    <w:p w14:paraId="7BE902D9" w14:textId="77777777" w:rsidR="00412539" w:rsidRDefault="00412539">
      <w:pPr>
        <w:spacing w:after="0" w:line="240" w:lineRule="auto"/>
      </w:pPr>
      <w:r>
        <w:continuationSeparator/>
      </w:r>
    </w:p>
  </w:endnote>
  <w:endnote w:type="continuationNotice" w:id="1">
    <w:p w14:paraId="0727579C" w14:textId="77777777" w:rsidR="00412539" w:rsidRDefault="00412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0B86" w14:textId="77777777" w:rsidR="00F44F87" w:rsidRPr="00F44F87" w:rsidRDefault="00F44F87">
    <w:pPr>
      <w:pStyle w:val="Footer"/>
      <w:jc w:val="center"/>
      <w:rPr>
        <w:rFonts w:ascii="Segoe UI" w:hAnsi="Segoe UI" w:cs="Segoe UI"/>
        <w:sz w:val="16"/>
        <w:szCs w:val="16"/>
      </w:rPr>
    </w:pPr>
    <w:r w:rsidRPr="00F44F87">
      <w:rPr>
        <w:rFonts w:ascii="Segoe UI" w:hAnsi="Segoe UI" w:cs="Segoe UI"/>
        <w:sz w:val="16"/>
        <w:szCs w:val="16"/>
      </w:rPr>
      <w:t xml:space="preserve">Page </w:t>
    </w:r>
    <w:r w:rsidRPr="00F44F87">
      <w:rPr>
        <w:rFonts w:ascii="Segoe UI" w:hAnsi="Segoe UI" w:cs="Segoe UI"/>
        <w:sz w:val="16"/>
        <w:szCs w:val="16"/>
      </w:rPr>
      <w:fldChar w:fldCharType="begin"/>
    </w:r>
    <w:r w:rsidRPr="00F44F87">
      <w:rPr>
        <w:rFonts w:ascii="Segoe UI" w:hAnsi="Segoe UI" w:cs="Segoe UI"/>
        <w:sz w:val="16"/>
        <w:szCs w:val="16"/>
      </w:rPr>
      <w:instrText>PAGE  \* Arabic  \* MERGEFORMAT</w:instrText>
    </w:r>
    <w:r w:rsidRPr="00F44F87">
      <w:rPr>
        <w:rFonts w:ascii="Segoe UI" w:hAnsi="Segoe UI" w:cs="Segoe UI"/>
        <w:sz w:val="16"/>
        <w:szCs w:val="16"/>
      </w:rPr>
      <w:fldChar w:fldCharType="separate"/>
    </w:r>
    <w:r w:rsidRPr="00F44F87">
      <w:rPr>
        <w:rFonts w:ascii="Segoe UI" w:hAnsi="Segoe UI" w:cs="Segoe UI"/>
        <w:sz w:val="16"/>
        <w:szCs w:val="16"/>
      </w:rPr>
      <w:t>2</w:t>
    </w:r>
    <w:r w:rsidRPr="00F44F87">
      <w:rPr>
        <w:rFonts w:ascii="Segoe UI" w:hAnsi="Segoe UI" w:cs="Segoe UI"/>
        <w:sz w:val="16"/>
        <w:szCs w:val="16"/>
      </w:rPr>
      <w:fldChar w:fldCharType="end"/>
    </w:r>
    <w:r w:rsidRPr="00F44F87">
      <w:rPr>
        <w:rFonts w:ascii="Segoe UI" w:hAnsi="Segoe UI" w:cs="Segoe UI"/>
        <w:sz w:val="16"/>
        <w:szCs w:val="16"/>
      </w:rPr>
      <w:t xml:space="preserve"> of </w:t>
    </w:r>
    <w:r w:rsidRPr="00F44F87">
      <w:rPr>
        <w:rFonts w:ascii="Segoe UI" w:hAnsi="Segoe UI" w:cs="Segoe UI"/>
        <w:sz w:val="16"/>
        <w:szCs w:val="16"/>
      </w:rPr>
      <w:fldChar w:fldCharType="begin"/>
    </w:r>
    <w:r w:rsidRPr="00F44F87">
      <w:rPr>
        <w:rFonts w:ascii="Segoe UI" w:hAnsi="Segoe UI" w:cs="Segoe UI"/>
        <w:sz w:val="16"/>
        <w:szCs w:val="16"/>
      </w:rPr>
      <w:instrText>NUMPAGES  \* Arabic  \* MERGEFORMAT</w:instrText>
    </w:r>
    <w:r w:rsidRPr="00F44F87">
      <w:rPr>
        <w:rFonts w:ascii="Segoe UI" w:hAnsi="Segoe UI" w:cs="Segoe UI"/>
        <w:sz w:val="16"/>
        <w:szCs w:val="16"/>
      </w:rPr>
      <w:fldChar w:fldCharType="separate"/>
    </w:r>
    <w:r w:rsidRPr="00F44F87">
      <w:rPr>
        <w:rFonts w:ascii="Segoe UI" w:hAnsi="Segoe UI" w:cs="Segoe UI"/>
        <w:sz w:val="16"/>
        <w:szCs w:val="16"/>
      </w:rPr>
      <w:t>2</w:t>
    </w:r>
    <w:r w:rsidRPr="00F44F87">
      <w:rPr>
        <w:rFonts w:ascii="Segoe UI" w:hAnsi="Segoe UI" w:cs="Segoe UI"/>
        <w:sz w:val="16"/>
        <w:szCs w:val="16"/>
      </w:rPr>
      <w:fldChar w:fldCharType="end"/>
    </w:r>
  </w:p>
  <w:p w14:paraId="05F181D3" w14:textId="4244CE5C" w:rsidR="582284F0" w:rsidRDefault="582284F0" w:rsidP="58228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25DC6" w14:textId="77777777" w:rsidR="00412539" w:rsidRDefault="00412539">
      <w:pPr>
        <w:spacing w:after="0" w:line="240" w:lineRule="auto"/>
      </w:pPr>
      <w:r>
        <w:separator/>
      </w:r>
    </w:p>
  </w:footnote>
  <w:footnote w:type="continuationSeparator" w:id="0">
    <w:p w14:paraId="77B5EC84" w14:textId="77777777" w:rsidR="00412539" w:rsidRDefault="00412539">
      <w:pPr>
        <w:spacing w:after="0" w:line="240" w:lineRule="auto"/>
      </w:pPr>
      <w:r>
        <w:continuationSeparator/>
      </w:r>
    </w:p>
  </w:footnote>
  <w:footnote w:type="continuationNotice" w:id="1">
    <w:p w14:paraId="33A6F0E6" w14:textId="77777777" w:rsidR="00412539" w:rsidRDefault="004125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82284F0" w14:paraId="3AD1A24C" w14:textId="77777777" w:rsidTr="582284F0">
      <w:trPr>
        <w:trHeight w:val="300"/>
      </w:trPr>
      <w:tc>
        <w:tcPr>
          <w:tcW w:w="3005" w:type="dxa"/>
        </w:tcPr>
        <w:p w14:paraId="339E03C6" w14:textId="138CD936" w:rsidR="582284F0" w:rsidRDefault="582284F0" w:rsidP="582284F0">
          <w:pPr>
            <w:pStyle w:val="Header"/>
            <w:ind w:left="-115"/>
          </w:pPr>
        </w:p>
      </w:tc>
      <w:tc>
        <w:tcPr>
          <w:tcW w:w="3005" w:type="dxa"/>
        </w:tcPr>
        <w:p w14:paraId="5F86550E" w14:textId="092E583C" w:rsidR="582284F0" w:rsidRDefault="582284F0" w:rsidP="582284F0">
          <w:pPr>
            <w:pStyle w:val="Header"/>
            <w:jc w:val="center"/>
          </w:pPr>
        </w:p>
      </w:tc>
      <w:tc>
        <w:tcPr>
          <w:tcW w:w="3005" w:type="dxa"/>
        </w:tcPr>
        <w:p w14:paraId="18043423" w14:textId="2B326C67" w:rsidR="582284F0" w:rsidRDefault="582284F0" w:rsidP="582284F0">
          <w:pPr>
            <w:pStyle w:val="Header"/>
            <w:ind w:right="-115"/>
            <w:jc w:val="right"/>
          </w:pPr>
        </w:p>
      </w:tc>
    </w:tr>
  </w:tbl>
  <w:p w14:paraId="512D4071" w14:textId="14F81110" w:rsidR="582284F0" w:rsidRDefault="582284F0" w:rsidP="00BD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7C31"/>
    <w:multiLevelType w:val="hybridMultilevel"/>
    <w:tmpl w:val="C5D03A1A"/>
    <w:lvl w:ilvl="0" w:tplc="63E48644">
      <w:start w:val="21"/>
      <w:numFmt w:val="decimal"/>
      <w:lvlText w:val="%1."/>
      <w:lvlJc w:val="left"/>
      <w:pPr>
        <w:ind w:left="720" w:hanging="360"/>
      </w:pPr>
      <w:rPr>
        <w:rFonts w:ascii="Aptos" w:hAnsi="Aptos" w:hint="default"/>
      </w:rPr>
    </w:lvl>
    <w:lvl w:ilvl="1" w:tplc="5B8A2498">
      <w:start w:val="1"/>
      <w:numFmt w:val="lowerLetter"/>
      <w:lvlText w:val="%2."/>
      <w:lvlJc w:val="left"/>
      <w:pPr>
        <w:ind w:left="1440" w:hanging="360"/>
      </w:pPr>
    </w:lvl>
    <w:lvl w:ilvl="2" w:tplc="3510EDD0">
      <w:start w:val="1"/>
      <w:numFmt w:val="lowerRoman"/>
      <w:lvlText w:val="%3."/>
      <w:lvlJc w:val="right"/>
      <w:pPr>
        <w:ind w:left="2160" w:hanging="180"/>
      </w:pPr>
    </w:lvl>
    <w:lvl w:ilvl="3" w:tplc="FB78CB20">
      <w:start w:val="1"/>
      <w:numFmt w:val="decimal"/>
      <w:lvlText w:val="%4."/>
      <w:lvlJc w:val="left"/>
      <w:pPr>
        <w:ind w:left="2880" w:hanging="360"/>
      </w:pPr>
    </w:lvl>
    <w:lvl w:ilvl="4" w:tplc="2904DD6E">
      <w:start w:val="1"/>
      <w:numFmt w:val="lowerLetter"/>
      <w:lvlText w:val="%5."/>
      <w:lvlJc w:val="left"/>
      <w:pPr>
        <w:ind w:left="3600" w:hanging="360"/>
      </w:pPr>
    </w:lvl>
    <w:lvl w:ilvl="5" w:tplc="6512BBD2">
      <w:start w:val="1"/>
      <w:numFmt w:val="lowerRoman"/>
      <w:lvlText w:val="%6."/>
      <w:lvlJc w:val="right"/>
      <w:pPr>
        <w:ind w:left="4320" w:hanging="180"/>
      </w:pPr>
    </w:lvl>
    <w:lvl w:ilvl="6" w:tplc="155A9B80">
      <w:start w:val="1"/>
      <w:numFmt w:val="decimal"/>
      <w:lvlText w:val="%7."/>
      <w:lvlJc w:val="left"/>
      <w:pPr>
        <w:ind w:left="5040" w:hanging="360"/>
      </w:pPr>
    </w:lvl>
    <w:lvl w:ilvl="7" w:tplc="10F2632E">
      <w:start w:val="1"/>
      <w:numFmt w:val="lowerLetter"/>
      <w:lvlText w:val="%8."/>
      <w:lvlJc w:val="left"/>
      <w:pPr>
        <w:ind w:left="5760" w:hanging="360"/>
      </w:pPr>
    </w:lvl>
    <w:lvl w:ilvl="8" w:tplc="369C897A">
      <w:start w:val="1"/>
      <w:numFmt w:val="lowerRoman"/>
      <w:lvlText w:val="%9."/>
      <w:lvlJc w:val="right"/>
      <w:pPr>
        <w:ind w:left="6480" w:hanging="180"/>
      </w:pPr>
    </w:lvl>
  </w:abstractNum>
  <w:abstractNum w:abstractNumId="1" w15:restartNumberingAfterBreak="0">
    <w:nsid w:val="18369EEB"/>
    <w:multiLevelType w:val="hybridMultilevel"/>
    <w:tmpl w:val="6076083E"/>
    <w:lvl w:ilvl="0" w:tplc="A044E220">
      <w:start w:val="16"/>
      <w:numFmt w:val="decimal"/>
      <w:lvlText w:val="%1."/>
      <w:lvlJc w:val="left"/>
      <w:pPr>
        <w:ind w:left="720" w:hanging="360"/>
      </w:pPr>
      <w:rPr>
        <w:rFonts w:ascii="Aptos" w:hAnsi="Aptos" w:hint="default"/>
      </w:rPr>
    </w:lvl>
    <w:lvl w:ilvl="1" w:tplc="90521936">
      <w:start w:val="1"/>
      <w:numFmt w:val="lowerLetter"/>
      <w:lvlText w:val="%2."/>
      <w:lvlJc w:val="left"/>
      <w:pPr>
        <w:ind w:left="1440" w:hanging="360"/>
      </w:pPr>
    </w:lvl>
    <w:lvl w:ilvl="2" w:tplc="85FA5296">
      <w:start w:val="1"/>
      <w:numFmt w:val="lowerRoman"/>
      <w:lvlText w:val="%3."/>
      <w:lvlJc w:val="right"/>
      <w:pPr>
        <w:ind w:left="2160" w:hanging="180"/>
      </w:pPr>
    </w:lvl>
    <w:lvl w:ilvl="3" w:tplc="ADB6BCE8">
      <w:start w:val="1"/>
      <w:numFmt w:val="decimal"/>
      <w:lvlText w:val="%4."/>
      <w:lvlJc w:val="left"/>
      <w:pPr>
        <w:ind w:left="2880" w:hanging="360"/>
      </w:pPr>
    </w:lvl>
    <w:lvl w:ilvl="4" w:tplc="A3D00052">
      <w:start w:val="1"/>
      <w:numFmt w:val="lowerLetter"/>
      <w:lvlText w:val="%5."/>
      <w:lvlJc w:val="left"/>
      <w:pPr>
        <w:ind w:left="3600" w:hanging="360"/>
      </w:pPr>
    </w:lvl>
    <w:lvl w:ilvl="5" w:tplc="CAEA15FC">
      <w:start w:val="1"/>
      <w:numFmt w:val="lowerRoman"/>
      <w:lvlText w:val="%6."/>
      <w:lvlJc w:val="right"/>
      <w:pPr>
        <w:ind w:left="4320" w:hanging="180"/>
      </w:pPr>
    </w:lvl>
    <w:lvl w:ilvl="6" w:tplc="EBA0E5A8">
      <w:start w:val="1"/>
      <w:numFmt w:val="decimal"/>
      <w:lvlText w:val="%7."/>
      <w:lvlJc w:val="left"/>
      <w:pPr>
        <w:ind w:left="5040" w:hanging="360"/>
      </w:pPr>
    </w:lvl>
    <w:lvl w:ilvl="7" w:tplc="E8ACB996">
      <w:start w:val="1"/>
      <w:numFmt w:val="lowerLetter"/>
      <w:lvlText w:val="%8."/>
      <w:lvlJc w:val="left"/>
      <w:pPr>
        <w:ind w:left="5760" w:hanging="360"/>
      </w:pPr>
    </w:lvl>
    <w:lvl w:ilvl="8" w:tplc="3138ACF2">
      <w:start w:val="1"/>
      <w:numFmt w:val="lowerRoman"/>
      <w:lvlText w:val="%9."/>
      <w:lvlJc w:val="right"/>
      <w:pPr>
        <w:ind w:left="6480" w:hanging="180"/>
      </w:pPr>
    </w:lvl>
  </w:abstractNum>
  <w:abstractNum w:abstractNumId="2" w15:restartNumberingAfterBreak="0">
    <w:nsid w:val="18C18130"/>
    <w:multiLevelType w:val="hybridMultilevel"/>
    <w:tmpl w:val="E08A9F0E"/>
    <w:lvl w:ilvl="0" w:tplc="41EA3808">
      <w:start w:val="13"/>
      <w:numFmt w:val="decimal"/>
      <w:lvlText w:val="%1."/>
      <w:lvlJc w:val="left"/>
      <w:pPr>
        <w:ind w:left="720" w:hanging="360"/>
      </w:pPr>
    </w:lvl>
    <w:lvl w:ilvl="1" w:tplc="DD5A7EDC">
      <w:start w:val="1"/>
      <w:numFmt w:val="lowerLetter"/>
      <w:lvlText w:val="%2."/>
      <w:lvlJc w:val="left"/>
      <w:pPr>
        <w:ind w:left="1440" w:hanging="360"/>
      </w:pPr>
    </w:lvl>
    <w:lvl w:ilvl="2" w:tplc="542E00D8">
      <w:start w:val="1"/>
      <w:numFmt w:val="lowerRoman"/>
      <w:lvlText w:val="%3."/>
      <w:lvlJc w:val="right"/>
      <w:pPr>
        <w:ind w:left="2160" w:hanging="180"/>
      </w:pPr>
    </w:lvl>
    <w:lvl w:ilvl="3" w:tplc="D654D4FA">
      <w:start w:val="1"/>
      <w:numFmt w:val="decimal"/>
      <w:lvlText w:val="%4."/>
      <w:lvlJc w:val="left"/>
      <w:pPr>
        <w:ind w:left="2880" w:hanging="360"/>
      </w:pPr>
    </w:lvl>
    <w:lvl w:ilvl="4" w:tplc="FCACECBA">
      <w:start w:val="1"/>
      <w:numFmt w:val="lowerLetter"/>
      <w:lvlText w:val="%5."/>
      <w:lvlJc w:val="left"/>
      <w:pPr>
        <w:ind w:left="3600" w:hanging="360"/>
      </w:pPr>
    </w:lvl>
    <w:lvl w:ilvl="5" w:tplc="39F82ECA">
      <w:start w:val="1"/>
      <w:numFmt w:val="lowerRoman"/>
      <w:lvlText w:val="%6."/>
      <w:lvlJc w:val="right"/>
      <w:pPr>
        <w:ind w:left="4320" w:hanging="180"/>
      </w:pPr>
    </w:lvl>
    <w:lvl w:ilvl="6" w:tplc="7E307C4C">
      <w:start w:val="1"/>
      <w:numFmt w:val="decimal"/>
      <w:lvlText w:val="%7."/>
      <w:lvlJc w:val="left"/>
      <w:pPr>
        <w:ind w:left="5040" w:hanging="360"/>
      </w:pPr>
    </w:lvl>
    <w:lvl w:ilvl="7" w:tplc="FD7ABE14">
      <w:start w:val="1"/>
      <w:numFmt w:val="lowerLetter"/>
      <w:lvlText w:val="%8."/>
      <w:lvlJc w:val="left"/>
      <w:pPr>
        <w:ind w:left="5760" w:hanging="360"/>
      </w:pPr>
    </w:lvl>
    <w:lvl w:ilvl="8" w:tplc="BE52CD04">
      <w:start w:val="1"/>
      <w:numFmt w:val="lowerRoman"/>
      <w:lvlText w:val="%9."/>
      <w:lvlJc w:val="right"/>
      <w:pPr>
        <w:ind w:left="6480" w:hanging="180"/>
      </w:pPr>
    </w:lvl>
  </w:abstractNum>
  <w:abstractNum w:abstractNumId="3" w15:restartNumberingAfterBreak="0">
    <w:nsid w:val="240C657D"/>
    <w:multiLevelType w:val="hybridMultilevel"/>
    <w:tmpl w:val="BB94B956"/>
    <w:lvl w:ilvl="0" w:tplc="AD8072BC">
      <w:start w:val="9"/>
      <w:numFmt w:val="decimal"/>
      <w:lvlText w:val="%1."/>
      <w:lvlJc w:val="left"/>
      <w:pPr>
        <w:ind w:left="720" w:hanging="360"/>
      </w:pPr>
      <w:rPr>
        <w:rFonts w:ascii="Aptos" w:hAnsi="Aptos" w:hint="default"/>
      </w:rPr>
    </w:lvl>
    <w:lvl w:ilvl="1" w:tplc="2FB6DCAA">
      <w:start w:val="1"/>
      <w:numFmt w:val="lowerLetter"/>
      <w:lvlText w:val="%2."/>
      <w:lvlJc w:val="left"/>
      <w:pPr>
        <w:ind w:left="1440" w:hanging="360"/>
      </w:pPr>
    </w:lvl>
    <w:lvl w:ilvl="2" w:tplc="FD24F7D8">
      <w:start w:val="1"/>
      <w:numFmt w:val="lowerRoman"/>
      <w:lvlText w:val="%3."/>
      <w:lvlJc w:val="right"/>
      <w:pPr>
        <w:ind w:left="2160" w:hanging="180"/>
      </w:pPr>
    </w:lvl>
    <w:lvl w:ilvl="3" w:tplc="E2AA3898">
      <w:start w:val="1"/>
      <w:numFmt w:val="decimal"/>
      <w:lvlText w:val="%4."/>
      <w:lvlJc w:val="left"/>
      <w:pPr>
        <w:ind w:left="2880" w:hanging="360"/>
      </w:pPr>
    </w:lvl>
    <w:lvl w:ilvl="4" w:tplc="A858B9DA">
      <w:start w:val="1"/>
      <w:numFmt w:val="lowerLetter"/>
      <w:lvlText w:val="%5."/>
      <w:lvlJc w:val="left"/>
      <w:pPr>
        <w:ind w:left="3600" w:hanging="360"/>
      </w:pPr>
    </w:lvl>
    <w:lvl w:ilvl="5" w:tplc="50484C02">
      <w:start w:val="1"/>
      <w:numFmt w:val="lowerRoman"/>
      <w:lvlText w:val="%6."/>
      <w:lvlJc w:val="right"/>
      <w:pPr>
        <w:ind w:left="4320" w:hanging="180"/>
      </w:pPr>
    </w:lvl>
    <w:lvl w:ilvl="6" w:tplc="531CADEC">
      <w:start w:val="1"/>
      <w:numFmt w:val="decimal"/>
      <w:lvlText w:val="%7."/>
      <w:lvlJc w:val="left"/>
      <w:pPr>
        <w:ind w:left="5040" w:hanging="360"/>
      </w:pPr>
    </w:lvl>
    <w:lvl w:ilvl="7" w:tplc="BE5C44C2">
      <w:start w:val="1"/>
      <w:numFmt w:val="lowerLetter"/>
      <w:lvlText w:val="%8."/>
      <w:lvlJc w:val="left"/>
      <w:pPr>
        <w:ind w:left="5760" w:hanging="360"/>
      </w:pPr>
    </w:lvl>
    <w:lvl w:ilvl="8" w:tplc="30AE0E70">
      <w:start w:val="1"/>
      <w:numFmt w:val="lowerRoman"/>
      <w:lvlText w:val="%9."/>
      <w:lvlJc w:val="right"/>
      <w:pPr>
        <w:ind w:left="6480" w:hanging="180"/>
      </w:pPr>
    </w:lvl>
  </w:abstractNum>
  <w:abstractNum w:abstractNumId="4" w15:restartNumberingAfterBreak="0">
    <w:nsid w:val="30792A3F"/>
    <w:multiLevelType w:val="hybridMultilevel"/>
    <w:tmpl w:val="22EAE6B4"/>
    <w:lvl w:ilvl="0" w:tplc="0AFCAB3E">
      <w:start w:val="10"/>
      <w:numFmt w:val="decimal"/>
      <w:lvlText w:val="%1."/>
      <w:lvlJc w:val="left"/>
      <w:pPr>
        <w:ind w:left="720" w:hanging="360"/>
      </w:pPr>
      <w:rPr>
        <w:rFonts w:ascii="Aptos" w:hAnsi="Aptos" w:hint="default"/>
      </w:rPr>
    </w:lvl>
    <w:lvl w:ilvl="1" w:tplc="FEC0AC32">
      <w:start w:val="1"/>
      <w:numFmt w:val="lowerLetter"/>
      <w:lvlText w:val="%2."/>
      <w:lvlJc w:val="left"/>
      <w:pPr>
        <w:ind w:left="1440" w:hanging="360"/>
      </w:pPr>
    </w:lvl>
    <w:lvl w:ilvl="2" w:tplc="86B09DDA">
      <w:start w:val="1"/>
      <w:numFmt w:val="lowerRoman"/>
      <w:lvlText w:val="%3."/>
      <w:lvlJc w:val="right"/>
      <w:pPr>
        <w:ind w:left="2160" w:hanging="180"/>
      </w:pPr>
    </w:lvl>
    <w:lvl w:ilvl="3" w:tplc="2DFA4CBE">
      <w:start w:val="1"/>
      <w:numFmt w:val="decimal"/>
      <w:lvlText w:val="%4."/>
      <w:lvlJc w:val="left"/>
      <w:pPr>
        <w:ind w:left="2880" w:hanging="360"/>
      </w:pPr>
    </w:lvl>
    <w:lvl w:ilvl="4" w:tplc="82881240">
      <w:start w:val="1"/>
      <w:numFmt w:val="lowerLetter"/>
      <w:lvlText w:val="%5."/>
      <w:lvlJc w:val="left"/>
      <w:pPr>
        <w:ind w:left="3600" w:hanging="360"/>
      </w:pPr>
    </w:lvl>
    <w:lvl w:ilvl="5" w:tplc="62AE02C0">
      <w:start w:val="1"/>
      <w:numFmt w:val="lowerRoman"/>
      <w:lvlText w:val="%6."/>
      <w:lvlJc w:val="right"/>
      <w:pPr>
        <w:ind w:left="4320" w:hanging="180"/>
      </w:pPr>
    </w:lvl>
    <w:lvl w:ilvl="6" w:tplc="EC80753E">
      <w:start w:val="1"/>
      <w:numFmt w:val="decimal"/>
      <w:lvlText w:val="%7."/>
      <w:lvlJc w:val="left"/>
      <w:pPr>
        <w:ind w:left="5040" w:hanging="360"/>
      </w:pPr>
    </w:lvl>
    <w:lvl w:ilvl="7" w:tplc="314E023A">
      <w:start w:val="1"/>
      <w:numFmt w:val="lowerLetter"/>
      <w:lvlText w:val="%8."/>
      <w:lvlJc w:val="left"/>
      <w:pPr>
        <w:ind w:left="5760" w:hanging="360"/>
      </w:pPr>
    </w:lvl>
    <w:lvl w:ilvl="8" w:tplc="E1AE9610">
      <w:start w:val="1"/>
      <w:numFmt w:val="lowerRoman"/>
      <w:lvlText w:val="%9."/>
      <w:lvlJc w:val="right"/>
      <w:pPr>
        <w:ind w:left="6480" w:hanging="180"/>
      </w:pPr>
    </w:lvl>
  </w:abstractNum>
  <w:abstractNum w:abstractNumId="5" w15:restartNumberingAfterBreak="0">
    <w:nsid w:val="31060882"/>
    <w:multiLevelType w:val="hybridMultilevel"/>
    <w:tmpl w:val="DAE4EEE0"/>
    <w:lvl w:ilvl="0" w:tplc="A9FCAFDA">
      <w:start w:val="1"/>
      <w:numFmt w:val="decimal"/>
      <w:lvlText w:val="%1."/>
      <w:lvlJc w:val="left"/>
      <w:pPr>
        <w:ind w:left="720" w:hanging="360"/>
      </w:pPr>
      <w:rPr>
        <w:rFonts w:ascii="Aptos" w:hAnsi="Aptos" w:hint="default"/>
      </w:rPr>
    </w:lvl>
    <w:lvl w:ilvl="1" w:tplc="E29061FE">
      <w:start w:val="1"/>
      <w:numFmt w:val="lowerLetter"/>
      <w:lvlText w:val="%2."/>
      <w:lvlJc w:val="left"/>
      <w:pPr>
        <w:ind w:left="1440" w:hanging="360"/>
      </w:pPr>
    </w:lvl>
    <w:lvl w:ilvl="2" w:tplc="E094199E">
      <w:start w:val="1"/>
      <w:numFmt w:val="lowerRoman"/>
      <w:lvlText w:val="%3."/>
      <w:lvlJc w:val="right"/>
      <w:pPr>
        <w:ind w:left="2160" w:hanging="180"/>
      </w:pPr>
    </w:lvl>
    <w:lvl w:ilvl="3" w:tplc="10423154">
      <w:start w:val="1"/>
      <w:numFmt w:val="decimal"/>
      <w:lvlText w:val="%4."/>
      <w:lvlJc w:val="left"/>
      <w:pPr>
        <w:ind w:left="2880" w:hanging="360"/>
      </w:pPr>
    </w:lvl>
    <w:lvl w:ilvl="4" w:tplc="D3C83D7C">
      <w:start w:val="1"/>
      <w:numFmt w:val="lowerLetter"/>
      <w:lvlText w:val="%5."/>
      <w:lvlJc w:val="left"/>
      <w:pPr>
        <w:ind w:left="3600" w:hanging="360"/>
      </w:pPr>
    </w:lvl>
    <w:lvl w:ilvl="5" w:tplc="1A128848">
      <w:start w:val="1"/>
      <w:numFmt w:val="lowerRoman"/>
      <w:lvlText w:val="%6."/>
      <w:lvlJc w:val="right"/>
      <w:pPr>
        <w:ind w:left="4320" w:hanging="180"/>
      </w:pPr>
    </w:lvl>
    <w:lvl w:ilvl="6" w:tplc="96A8286E">
      <w:start w:val="1"/>
      <w:numFmt w:val="decimal"/>
      <w:lvlText w:val="%7."/>
      <w:lvlJc w:val="left"/>
      <w:pPr>
        <w:ind w:left="5040" w:hanging="360"/>
      </w:pPr>
    </w:lvl>
    <w:lvl w:ilvl="7" w:tplc="8C5C117A">
      <w:start w:val="1"/>
      <w:numFmt w:val="lowerLetter"/>
      <w:lvlText w:val="%8."/>
      <w:lvlJc w:val="left"/>
      <w:pPr>
        <w:ind w:left="5760" w:hanging="360"/>
      </w:pPr>
    </w:lvl>
    <w:lvl w:ilvl="8" w:tplc="BFB40A02">
      <w:start w:val="1"/>
      <w:numFmt w:val="lowerRoman"/>
      <w:lvlText w:val="%9."/>
      <w:lvlJc w:val="right"/>
      <w:pPr>
        <w:ind w:left="6480" w:hanging="180"/>
      </w:pPr>
    </w:lvl>
  </w:abstractNum>
  <w:abstractNum w:abstractNumId="6" w15:restartNumberingAfterBreak="0">
    <w:nsid w:val="318ECD07"/>
    <w:multiLevelType w:val="hybridMultilevel"/>
    <w:tmpl w:val="5DCE3114"/>
    <w:lvl w:ilvl="0" w:tplc="3A52BD00">
      <w:start w:val="14"/>
      <w:numFmt w:val="decimal"/>
      <w:lvlText w:val="%1."/>
      <w:lvlJc w:val="left"/>
      <w:pPr>
        <w:ind w:left="720" w:hanging="360"/>
      </w:pPr>
      <w:rPr>
        <w:rFonts w:ascii="Aptos" w:hAnsi="Aptos" w:hint="default"/>
      </w:rPr>
    </w:lvl>
    <w:lvl w:ilvl="1" w:tplc="272E8EA2">
      <w:start w:val="1"/>
      <w:numFmt w:val="lowerLetter"/>
      <w:lvlText w:val="%2."/>
      <w:lvlJc w:val="left"/>
      <w:pPr>
        <w:ind w:left="1440" w:hanging="360"/>
      </w:pPr>
    </w:lvl>
    <w:lvl w:ilvl="2" w:tplc="3E72EED2">
      <w:start w:val="1"/>
      <w:numFmt w:val="lowerRoman"/>
      <w:lvlText w:val="%3."/>
      <w:lvlJc w:val="right"/>
      <w:pPr>
        <w:ind w:left="2160" w:hanging="180"/>
      </w:pPr>
    </w:lvl>
    <w:lvl w:ilvl="3" w:tplc="A7C6D5D2">
      <w:start w:val="1"/>
      <w:numFmt w:val="decimal"/>
      <w:lvlText w:val="%4."/>
      <w:lvlJc w:val="left"/>
      <w:pPr>
        <w:ind w:left="2880" w:hanging="360"/>
      </w:pPr>
    </w:lvl>
    <w:lvl w:ilvl="4" w:tplc="5F00F09C">
      <w:start w:val="1"/>
      <w:numFmt w:val="lowerLetter"/>
      <w:lvlText w:val="%5."/>
      <w:lvlJc w:val="left"/>
      <w:pPr>
        <w:ind w:left="3600" w:hanging="360"/>
      </w:pPr>
    </w:lvl>
    <w:lvl w:ilvl="5" w:tplc="1AF6D3E2">
      <w:start w:val="1"/>
      <w:numFmt w:val="lowerRoman"/>
      <w:lvlText w:val="%6."/>
      <w:lvlJc w:val="right"/>
      <w:pPr>
        <w:ind w:left="4320" w:hanging="180"/>
      </w:pPr>
    </w:lvl>
    <w:lvl w:ilvl="6" w:tplc="39B2E0D2">
      <w:start w:val="1"/>
      <w:numFmt w:val="decimal"/>
      <w:lvlText w:val="%7."/>
      <w:lvlJc w:val="left"/>
      <w:pPr>
        <w:ind w:left="5040" w:hanging="360"/>
      </w:pPr>
    </w:lvl>
    <w:lvl w:ilvl="7" w:tplc="5B6E0216">
      <w:start w:val="1"/>
      <w:numFmt w:val="lowerLetter"/>
      <w:lvlText w:val="%8."/>
      <w:lvlJc w:val="left"/>
      <w:pPr>
        <w:ind w:left="5760" w:hanging="360"/>
      </w:pPr>
    </w:lvl>
    <w:lvl w:ilvl="8" w:tplc="6152FB82">
      <w:start w:val="1"/>
      <w:numFmt w:val="lowerRoman"/>
      <w:lvlText w:val="%9."/>
      <w:lvlJc w:val="right"/>
      <w:pPr>
        <w:ind w:left="6480" w:hanging="180"/>
      </w:pPr>
    </w:lvl>
  </w:abstractNum>
  <w:abstractNum w:abstractNumId="7" w15:restartNumberingAfterBreak="0">
    <w:nsid w:val="34777F05"/>
    <w:multiLevelType w:val="hybridMultilevel"/>
    <w:tmpl w:val="9E8C0742"/>
    <w:lvl w:ilvl="0" w:tplc="EFA2A4A4">
      <w:start w:val="11"/>
      <w:numFmt w:val="decimal"/>
      <w:lvlText w:val="%1."/>
      <w:lvlJc w:val="left"/>
      <w:pPr>
        <w:ind w:left="720" w:hanging="360"/>
      </w:pPr>
    </w:lvl>
    <w:lvl w:ilvl="1" w:tplc="C036590E">
      <w:start w:val="1"/>
      <w:numFmt w:val="lowerLetter"/>
      <w:lvlText w:val="%2."/>
      <w:lvlJc w:val="left"/>
      <w:pPr>
        <w:ind w:left="1440" w:hanging="360"/>
      </w:pPr>
    </w:lvl>
    <w:lvl w:ilvl="2" w:tplc="FD904958">
      <w:start w:val="1"/>
      <w:numFmt w:val="lowerRoman"/>
      <w:lvlText w:val="%3."/>
      <w:lvlJc w:val="right"/>
      <w:pPr>
        <w:ind w:left="2160" w:hanging="180"/>
      </w:pPr>
    </w:lvl>
    <w:lvl w:ilvl="3" w:tplc="3FBC92A8">
      <w:start w:val="1"/>
      <w:numFmt w:val="decimal"/>
      <w:lvlText w:val="%4."/>
      <w:lvlJc w:val="left"/>
      <w:pPr>
        <w:ind w:left="2880" w:hanging="360"/>
      </w:pPr>
    </w:lvl>
    <w:lvl w:ilvl="4" w:tplc="CE10F388">
      <w:start w:val="1"/>
      <w:numFmt w:val="lowerLetter"/>
      <w:lvlText w:val="%5."/>
      <w:lvlJc w:val="left"/>
      <w:pPr>
        <w:ind w:left="3600" w:hanging="360"/>
      </w:pPr>
    </w:lvl>
    <w:lvl w:ilvl="5" w:tplc="2D00A10A">
      <w:start w:val="1"/>
      <w:numFmt w:val="lowerRoman"/>
      <w:lvlText w:val="%6."/>
      <w:lvlJc w:val="right"/>
      <w:pPr>
        <w:ind w:left="4320" w:hanging="180"/>
      </w:pPr>
    </w:lvl>
    <w:lvl w:ilvl="6" w:tplc="636C8CD8">
      <w:start w:val="1"/>
      <w:numFmt w:val="decimal"/>
      <w:lvlText w:val="%7."/>
      <w:lvlJc w:val="left"/>
      <w:pPr>
        <w:ind w:left="5040" w:hanging="360"/>
      </w:pPr>
    </w:lvl>
    <w:lvl w:ilvl="7" w:tplc="A9A0FEA8">
      <w:start w:val="1"/>
      <w:numFmt w:val="lowerLetter"/>
      <w:lvlText w:val="%8."/>
      <w:lvlJc w:val="left"/>
      <w:pPr>
        <w:ind w:left="5760" w:hanging="360"/>
      </w:pPr>
    </w:lvl>
    <w:lvl w:ilvl="8" w:tplc="296C90EC">
      <w:start w:val="1"/>
      <w:numFmt w:val="lowerRoman"/>
      <w:lvlText w:val="%9."/>
      <w:lvlJc w:val="right"/>
      <w:pPr>
        <w:ind w:left="6480" w:hanging="180"/>
      </w:pPr>
    </w:lvl>
  </w:abstractNum>
  <w:abstractNum w:abstractNumId="8" w15:restartNumberingAfterBreak="0">
    <w:nsid w:val="3AB5B123"/>
    <w:multiLevelType w:val="hybridMultilevel"/>
    <w:tmpl w:val="2A7071A6"/>
    <w:lvl w:ilvl="0" w:tplc="79D0B9F4">
      <w:start w:val="18"/>
      <w:numFmt w:val="decimal"/>
      <w:lvlText w:val="%1."/>
      <w:lvlJc w:val="left"/>
      <w:pPr>
        <w:ind w:left="720" w:hanging="360"/>
      </w:pPr>
      <w:rPr>
        <w:rFonts w:ascii="Aptos" w:hAnsi="Aptos" w:hint="default"/>
      </w:rPr>
    </w:lvl>
    <w:lvl w:ilvl="1" w:tplc="6E82FC38">
      <w:start w:val="1"/>
      <w:numFmt w:val="lowerLetter"/>
      <w:lvlText w:val="%2."/>
      <w:lvlJc w:val="left"/>
      <w:pPr>
        <w:ind w:left="1440" w:hanging="360"/>
      </w:pPr>
    </w:lvl>
    <w:lvl w:ilvl="2" w:tplc="830868B8">
      <w:start w:val="1"/>
      <w:numFmt w:val="lowerRoman"/>
      <w:lvlText w:val="%3."/>
      <w:lvlJc w:val="right"/>
      <w:pPr>
        <w:ind w:left="2160" w:hanging="180"/>
      </w:pPr>
    </w:lvl>
    <w:lvl w:ilvl="3" w:tplc="BFEC46AE">
      <w:start w:val="1"/>
      <w:numFmt w:val="decimal"/>
      <w:lvlText w:val="%4."/>
      <w:lvlJc w:val="left"/>
      <w:pPr>
        <w:ind w:left="2880" w:hanging="360"/>
      </w:pPr>
    </w:lvl>
    <w:lvl w:ilvl="4" w:tplc="0678A580">
      <w:start w:val="1"/>
      <w:numFmt w:val="lowerLetter"/>
      <w:lvlText w:val="%5."/>
      <w:lvlJc w:val="left"/>
      <w:pPr>
        <w:ind w:left="3600" w:hanging="360"/>
      </w:pPr>
    </w:lvl>
    <w:lvl w:ilvl="5" w:tplc="D2DE39E0">
      <w:start w:val="1"/>
      <w:numFmt w:val="lowerRoman"/>
      <w:lvlText w:val="%6."/>
      <w:lvlJc w:val="right"/>
      <w:pPr>
        <w:ind w:left="4320" w:hanging="180"/>
      </w:pPr>
    </w:lvl>
    <w:lvl w:ilvl="6" w:tplc="A94680BA">
      <w:start w:val="1"/>
      <w:numFmt w:val="decimal"/>
      <w:lvlText w:val="%7."/>
      <w:lvlJc w:val="left"/>
      <w:pPr>
        <w:ind w:left="5040" w:hanging="360"/>
      </w:pPr>
    </w:lvl>
    <w:lvl w:ilvl="7" w:tplc="01FA196A">
      <w:start w:val="1"/>
      <w:numFmt w:val="lowerLetter"/>
      <w:lvlText w:val="%8."/>
      <w:lvlJc w:val="left"/>
      <w:pPr>
        <w:ind w:left="5760" w:hanging="360"/>
      </w:pPr>
    </w:lvl>
    <w:lvl w:ilvl="8" w:tplc="57220886">
      <w:start w:val="1"/>
      <w:numFmt w:val="lowerRoman"/>
      <w:lvlText w:val="%9."/>
      <w:lvlJc w:val="right"/>
      <w:pPr>
        <w:ind w:left="6480" w:hanging="180"/>
      </w:pPr>
    </w:lvl>
  </w:abstractNum>
  <w:abstractNum w:abstractNumId="9" w15:restartNumberingAfterBreak="0">
    <w:nsid w:val="5CC880C5"/>
    <w:multiLevelType w:val="hybridMultilevel"/>
    <w:tmpl w:val="42343A16"/>
    <w:lvl w:ilvl="0" w:tplc="BEB6F682">
      <w:start w:val="20"/>
      <w:numFmt w:val="decimal"/>
      <w:lvlText w:val="%1."/>
      <w:lvlJc w:val="left"/>
      <w:pPr>
        <w:ind w:left="720" w:hanging="360"/>
      </w:pPr>
      <w:rPr>
        <w:rFonts w:ascii="Aptos" w:hAnsi="Aptos" w:hint="default"/>
      </w:rPr>
    </w:lvl>
    <w:lvl w:ilvl="1" w:tplc="74648838">
      <w:start w:val="1"/>
      <w:numFmt w:val="lowerLetter"/>
      <w:lvlText w:val="%2."/>
      <w:lvlJc w:val="left"/>
      <w:pPr>
        <w:ind w:left="1440" w:hanging="360"/>
      </w:pPr>
    </w:lvl>
    <w:lvl w:ilvl="2" w:tplc="6D42FB54">
      <w:start w:val="1"/>
      <w:numFmt w:val="lowerRoman"/>
      <w:lvlText w:val="%3."/>
      <w:lvlJc w:val="right"/>
      <w:pPr>
        <w:ind w:left="2160" w:hanging="180"/>
      </w:pPr>
    </w:lvl>
    <w:lvl w:ilvl="3" w:tplc="5FB29450">
      <w:start w:val="1"/>
      <w:numFmt w:val="decimal"/>
      <w:lvlText w:val="%4."/>
      <w:lvlJc w:val="left"/>
      <w:pPr>
        <w:ind w:left="2880" w:hanging="360"/>
      </w:pPr>
    </w:lvl>
    <w:lvl w:ilvl="4" w:tplc="65B078A0">
      <w:start w:val="1"/>
      <w:numFmt w:val="lowerLetter"/>
      <w:lvlText w:val="%5."/>
      <w:lvlJc w:val="left"/>
      <w:pPr>
        <w:ind w:left="3600" w:hanging="360"/>
      </w:pPr>
    </w:lvl>
    <w:lvl w:ilvl="5" w:tplc="38BC027C">
      <w:start w:val="1"/>
      <w:numFmt w:val="lowerRoman"/>
      <w:lvlText w:val="%6."/>
      <w:lvlJc w:val="right"/>
      <w:pPr>
        <w:ind w:left="4320" w:hanging="180"/>
      </w:pPr>
    </w:lvl>
    <w:lvl w:ilvl="6" w:tplc="9CC0E6FE">
      <w:start w:val="1"/>
      <w:numFmt w:val="decimal"/>
      <w:lvlText w:val="%7."/>
      <w:lvlJc w:val="left"/>
      <w:pPr>
        <w:ind w:left="5040" w:hanging="360"/>
      </w:pPr>
    </w:lvl>
    <w:lvl w:ilvl="7" w:tplc="27A8B78E">
      <w:start w:val="1"/>
      <w:numFmt w:val="lowerLetter"/>
      <w:lvlText w:val="%8."/>
      <w:lvlJc w:val="left"/>
      <w:pPr>
        <w:ind w:left="5760" w:hanging="360"/>
      </w:pPr>
    </w:lvl>
    <w:lvl w:ilvl="8" w:tplc="5E0A43BC">
      <w:start w:val="1"/>
      <w:numFmt w:val="lowerRoman"/>
      <w:lvlText w:val="%9."/>
      <w:lvlJc w:val="right"/>
      <w:pPr>
        <w:ind w:left="6480" w:hanging="180"/>
      </w:pPr>
    </w:lvl>
  </w:abstractNum>
  <w:abstractNum w:abstractNumId="10" w15:restartNumberingAfterBreak="0">
    <w:nsid w:val="6EBAC601"/>
    <w:multiLevelType w:val="hybridMultilevel"/>
    <w:tmpl w:val="CEE6D3AA"/>
    <w:lvl w:ilvl="0" w:tplc="B180F714">
      <w:start w:val="22"/>
      <w:numFmt w:val="decimal"/>
      <w:lvlText w:val="%1."/>
      <w:lvlJc w:val="left"/>
      <w:pPr>
        <w:ind w:left="720" w:hanging="360"/>
      </w:pPr>
      <w:rPr>
        <w:rFonts w:ascii="Aptos" w:hAnsi="Aptos" w:hint="default"/>
      </w:rPr>
    </w:lvl>
    <w:lvl w:ilvl="1" w:tplc="84368F40">
      <w:start w:val="1"/>
      <w:numFmt w:val="lowerLetter"/>
      <w:lvlText w:val="%2."/>
      <w:lvlJc w:val="left"/>
      <w:pPr>
        <w:ind w:left="1440" w:hanging="360"/>
      </w:pPr>
    </w:lvl>
    <w:lvl w:ilvl="2" w:tplc="FA9237D2">
      <w:start w:val="1"/>
      <w:numFmt w:val="lowerRoman"/>
      <w:lvlText w:val="%3."/>
      <w:lvlJc w:val="right"/>
      <w:pPr>
        <w:ind w:left="2160" w:hanging="180"/>
      </w:pPr>
    </w:lvl>
    <w:lvl w:ilvl="3" w:tplc="EAA6A9E0">
      <w:start w:val="1"/>
      <w:numFmt w:val="decimal"/>
      <w:lvlText w:val="%4."/>
      <w:lvlJc w:val="left"/>
      <w:pPr>
        <w:ind w:left="2880" w:hanging="360"/>
      </w:pPr>
    </w:lvl>
    <w:lvl w:ilvl="4" w:tplc="6DCED32C">
      <w:start w:val="1"/>
      <w:numFmt w:val="lowerLetter"/>
      <w:lvlText w:val="%5."/>
      <w:lvlJc w:val="left"/>
      <w:pPr>
        <w:ind w:left="3600" w:hanging="360"/>
      </w:pPr>
    </w:lvl>
    <w:lvl w:ilvl="5" w:tplc="E856B202">
      <w:start w:val="1"/>
      <w:numFmt w:val="lowerRoman"/>
      <w:lvlText w:val="%6."/>
      <w:lvlJc w:val="right"/>
      <w:pPr>
        <w:ind w:left="4320" w:hanging="180"/>
      </w:pPr>
    </w:lvl>
    <w:lvl w:ilvl="6" w:tplc="863AC14A">
      <w:start w:val="1"/>
      <w:numFmt w:val="decimal"/>
      <w:lvlText w:val="%7."/>
      <w:lvlJc w:val="left"/>
      <w:pPr>
        <w:ind w:left="5040" w:hanging="360"/>
      </w:pPr>
    </w:lvl>
    <w:lvl w:ilvl="7" w:tplc="BAFC0F9C">
      <w:start w:val="1"/>
      <w:numFmt w:val="lowerLetter"/>
      <w:lvlText w:val="%8."/>
      <w:lvlJc w:val="left"/>
      <w:pPr>
        <w:ind w:left="5760" w:hanging="360"/>
      </w:pPr>
    </w:lvl>
    <w:lvl w:ilvl="8" w:tplc="1EDC4BC4">
      <w:start w:val="1"/>
      <w:numFmt w:val="lowerRoman"/>
      <w:lvlText w:val="%9."/>
      <w:lvlJc w:val="right"/>
      <w:pPr>
        <w:ind w:left="6480" w:hanging="180"/>
      </w:pPr>
    </w:lvl>
  </w:abstractNum>
  <w:abstractNum w:abstractNumId="11" w15:restartNumberingAfterBreak="0">
    <w:nsid w:val="761E7A73"/>
    <w:multiLevelType w:val="hybridMultilevel"/>
    <w:tmpl w:val="1188F95C"/>
    <w:lvl w:ilvl="0" w:tplc="0914AD34">
      <w:start w:val="19"/>
      <w:numFmt w:val="decimal"/>
      <w:lvlText w:val="%1."/>
      <w:lvlJc w:val="left"/>
      <w:pPr>
        <w:ind w:left="720" w:hanging="360"/>
      </w:pPr>
      <w:rPr>
        <w:rFonts w:ascii="Aptos" w:hAnsi="Aptos" w:hint="default"/>
      </w:rPr>
    </w:lvl>
    <w:lvl w:ilvl="1" w:tplc="2A08BF02">
      <w:start w:val="1"/>
      <w:numFmt w:val="lowerLetter"/>
      <w:lvlText w:val="%2."/>
      <w:lvlJc w:val="left"/>
      <w:pPr>
        <w:ind w:left="1440" w:hanging="360"/>
      </w:pPr>
    </w:lvl>
    <w:lvl w:ilvl="2" w:tplc="56487A7C">
      <w:start w:val="1"/>
      <w:numFmt w:val="lowerRoman"/>
      <w:lvlText w:val="%3."/>
      <w:lvlJc w:val="right"/>
      <w:pPr>
        <w:ind w:left="2160" w:hanging="180"/>
      </w:pPr>
    </w:lvl>
    <w:lvl w:ilvl="3" w:tplc="75DCF58C">
      <w:start w:val="1"/>
      <w:numFmt w:val="decimal"/>
      <w:lvlText w:val="%4."/>
      <w:lvlJc w:val="left"/>
      <w:pPr>
        <w:ind w:left="2880" w:hanging="360"/>
      </w:pPr>
    </w:lvl>
    <w:lvl w:ilvl="4" w:tplc="7CB82AF8">
      <w:start w:val="1"/>
      <w:numFmt w:val="lowerLetter"/>
      <w:lvlText w:val="%5."/>
      <w:lvlJc w:val="left"/>
      <w:pPr>
        <w:ind w:left="3600" w:hanging="360"/>
      </w:pPr>
    </w:lvl>
    <w:lvl w:ilvl="5" w:tplc="EF2C1012">
      <w:start w:val="1"/>
      <w:numFmt w:val="lowerRoman"/>
      <w:lvlText w:val="%6."/>
      <w:lvlJc w:val="right"/>
      <w:pPr>
        <w:ind w:left="4320" w:hanging="180"/>
      </w:pPr>
    </w:lvl>
    <w:lvl w:ilvl="6" w:tplc="0612471C">
      <w:start w:val="1"/>
      <w:numFmt w:val="decimal"/>
      <w:lvlText w:val="%7."/>
      <w:lvlJc w:val="left"/>
      <w:pPr>
        <w:ind w:left="5040" w:hanging="360"/>
      </w:pPr>
    </w:lvl>
    <w:lvl w:ilvl="7" w:tplc="7AD6FDCC">
      <w:start w:val="1"/>
      <w:numFmt w:val="lowerLetter"/>
      <w:lvlText w:val="%8."/>
      <w:lvlJc w:val="left"/>
      <w:pPr>
        <w:ind w:left="5760" w:hanging="360"/>
      </w:pPr>
    </w:lvl>
    <w:lvl w:ilvl="8" w:tplc="3E245F32">
      <w:start w:val="1"/>
      <w:numFmt w:val="lowerRoman"/>
      <w:lvlText w:val="%9."/>
      <w:lvlJc w:val="right"/>
      <w:pPr>
        <w:ind w:left="6480" w:hanging="180"/>
      </w:pPr>
    </w:lvl>
  </w:abstractNum>
  <w:abstractNum w:abstractNumId="12" w15:restartNumberingAfterBreak="0">
    <w:nsid w:val="7953A3EF"/>
    <w:multiLevelType w:val="hybridMultilevel"/>
    <w:tmpl w:val="C68683BE"/>
    <w:lvl w:ilvl="0" w:tplc="9BEE999E">
      <w:start w:val="12"/>
      <w:numFmt w:val="decimal"/>
      <w:lvlText w:val="%1."/>
      <w:lvlJc w:val="left"/>
      <w:pPr>
        <w:ind w:left="720" w:hanging="360"/>
      </w:pPr>
    </w:lvl>
    <w:lvl w:ilvl="1" w:tplc="E1A298CC">
      <w:start w:val="1"/>
      <w:numFmt w:val="lowerLetter"/>
      <w:lvlText w:val="%2."/>
      <w:lvlJc w:val="left"/>
      <w:pPr>
        <w:ind w:left="1440" w:hanging="360"/>
      </w:pPr>
    </w:lvl>
    <w:lvl w:ilvl="2" w:tplc="60E48C24">
      <w:start w:val="1"/>
      <w:numFmt w:val="lowerRoman"/>
      <w:lvlText w:val="%3."/>
      <w:lvlJc w:val="right"/>
      <w:pPr>
        <w:ind w:left="2160" w:hanging="180"/>
      </w:pPr>
    </w:lvl>
    <w:lvl w:ilvl="3" w:tplc="AF18A0F6">
      <w:start w:val="1"/>
      <w:numFmt w:val="decimal"/>
      <w:lvlText w:val="%4."/>
      <w:lvlJc w:val="left"/>
      <w:pPr>
        <w:ind w:left="2880" w:hanging="360"/>
      </w:pPr>
    </w:lvl>
    <w:lvl w:ilvl="4" w:tplc="7FB827A8">
      <w:start w:val="1"/>
      <w:numFmt w:val="lowerLetter"/>
      <w:lvlText w:val="%5."/>
      <w:lvlJc w:val="left"/>
      <w:pPr>
        <w:ind w:left="3600" w:hanging="360"/>
      </w:pPr>
    </w:lvl>
    <w:lvl w:ilvl="5" w:tplc="DF16DC20">
      <w:start w:val="1"/>
      <w:numFmt w:val="lowerRoman"/>
      <w:lvlText w:val="%6."/>
      <w:lvlJc w:val="right"/>
      <w:pPr>
        <w:ind w:left="4320" w:hanging="180"/>
      </w:pPr>
    </w:lvl>
    <w:lvl w:ilvl="6" w:tplc="454CF20E">
      <w:start w:val="1"/>
      <w:numFmt w:val="decimal"/>
      <w:lvlText w:val="%7."/>
      <w:lvlJc w:val="left"/>
      <w:pPr>
        <w:ind w:left="5040" w:hanging="360"/>
      </w:pPr>
    </w:lvl>
    <w:lvl w:ilvl="7" w:tplc="9EF6C8CC">
      <w:start w:val="1"/>
      <w:numFmt w:val="lowerLetter"/>
      <w:lvlText w:val="%8."/>
      <w:lvlJc w:val="left"/>
      <w:pPr>
        <w:ind w:left="5760" w:hanging="360"/>
      </w:pPr>
    </w:lvl>
    <w:lvl w:ilvl="8" w:tplc="DC98561E">
      <w:start w:val="1"/>
      <w:numFmt w:val="lowerRoman"/>
      <w:lvlText w:val="%9."/>
      <w:lvlJc w:val="right"/>
      <w:pPr>
        <w:ind w:left="6480" w:hanging="180"/>
      </w:pPr>
    </w:lvl>
  </w:abstractNum>
  <w:abstractNum w:abstractNumId="13" w15:restartNumberingAfterBreak="0">
    <w:nsid w:val="799E1B1F"/>
    <w:multiLevelType w:val="hybridMultilevel"/>
    <w:tmpl w:val="44D4F7AC"/>
    <w:lvl w:ilvl="0" w:tplc="0C7411CC">
      <w:start w:val="15"/>
      <w:numFmt w:val="decimal"/>
      <w:lvlText w:val="%1."/>
      <w:lvlJc w:val="left"/>
      <w:pPr>
        <w:ind w:left="720" w:hanging="360"/>
      </w:pPr>
      <w:rPr>
        <w:rFonts w:ascii="Aptos" w:hAnsi="Aptos" w:hint="default"/>
      </w:rPr>
    </w:lvl>
    <w:lvl w:ilvl="1" w:tplc="FBD6EBB6">
      <w:start w:val="1"/>
      <w:numFmt w:val="lowerLetter"/>
      <w:lvlText w:val="%2."/>
      <w:lvlJc w:val="left"/>
      <w:pPr>
        <w:ind w:left="1440" w:hanging="360"/>
      </w:pPr>
    </w:lvl>
    <w:lvl w:ilvl="2" w:tplc="4B964976">
      <w:start w:val="1"/>
      <w:numFmt w:val="lowerRoman"/>
      <w:lvlText w:val="%3."/>
      <w:lvlJc w:val="right"/>
      <w:pPr>
        <w:ind w:left="2160" w:hanging="180"/>
      </w:pPr>
    </w:lvl>
    <w:lvl w:ilvl="3" w:tplc="84E25F24">
      <w:start w:val="1"/>
      <w:numFmt w:val="decimal"/>
      <w:lvlText w:val="%4."/>
      <w:lvlJc w:val="left"/>
      <w:pPr>
        <w:ind w:left="2880" w:hanging="360"/>
      </w:pPr>
    </w:lvl>
    <w:lvl w:ilvl="4" w:tplc="42DEBAAE">
      <w:start w:val="1"/>
      <w:numFmt w:val="lowerLetter"/>
      <w:lvlText w:val="%5."/>
      <w:lvlJc w:val="left"/>
      <w:pPr>
        <w:ind w:left="3600" w:hanging="360"/>
      </w:pPr>
    </w:lvl>
    <w:lvl w:ilvl="5" w:tplc="4600D07E">
      <w:start w:val="1"/>
      <w:numFmt w:val="lowerRoman"/>
      <w:lvlText w:val="%6."/>
      <w:lvlJc w:val="right"/>
      <w:pPr>
        <w:ind w:left="4320" w:hanging="180"/>
      </w:pPr>
    </w:lvl>
    <w:lvl w:ilvl="6" w:tplc="31BEC1A0">
      <w:start w:val="1"/>
      <w:numFmt w:val="decimal"/>
      <w:lvlText w:val="%7."/>
      <w:lvlJc w:val="left"/>
      <w:pPr>
        <w:ind w:left="5040" w:hanging="360"/>
      </w:pPr>
    </w:lvl>
    <w:lvl w:ilvl="7" w:tplc="C2FAADE8">
      <w:start w:val="1"/>
      <w:numFmt w:val="lowerLetter"/>
      <w:lvlText w:val="%8."/>
      <w:lvlJc w:val="left"/>
      <w:pPr>
        <w:ind w:left="5760" w:hanging="360"/>
      </w:pPr>
    </w:lvl>
    <w:lvl w:ilvl="8" w:tplc="3344242E">
      <w:start w:val="1"/>
      <w:numFmt w:val="lowerRoman"/>
      <w:lvlText w:val="%9."/>
      <w:lvlJc w:val="right"/>
      <w:pPr>
        <w:ind w:left="6480" w:hanging="180"/>
      </w:pPr>
    </w:lvl>
  </w:abstractNum>
  <w:abstractNum w:abstractNumId="14" w15:restartNumberingAfterBreak="0">
    <w:nsid w:val="7B27D585"/>
    <w:multiLevelType w:val="hybridMultilevel"/>
    <w:tmpl w:val="62C215F0"/>
    <w:lvl w:ilvl="0" w:tplc="DE10C38A">
      <w:start w:val="23"/>
      <w:numFmt w:val="decimal"/>
      <w:lvlText w:val="%1."/>
      <w:lvlJc w:val="left"/>
      <w:pPr>
        <w:ind w:left="720" w:hanging="360"/>
      </w:pPr>
      <w:rPr>
        <w:rFonts w:ascii="Aptos" w:hAnsi="Aptos" w:hint="default"/>
      </w:rPr>
    </w:lvl>
    <w:lvl w:ilvl="1" w:tplc="1466FE0C">
      <w:start w:val="1"/>
      <w:numFmt w:val="lowerLetter"/>
      <w:lvlText w:val="%2."/>
      <w:lvlJc w:val="left"/>
      <w:pPr>
        <w:ind w:left="1440" w:hanging="360"/>
      </w:pPr>
    </w:lvl>
    <w:lvl w:ilvl="2" w:tplc="BBCC0AE0">
      <w:start w:val="1"/>
      <w:numFmt w:val="lowerRoman"/>
      <w:lvlText w:val="%3."/>
      <w:lvlJc w:val="right"/>
      <w:pPr>
        <w:ind w:left="2160" w:hanging="180"/>
      </w:pPr>
    </w:lvl>
    <w:lvl w:ilvl="3" w:tplc="98708CE8">
      <w:start w:val="1"/>
      <w:numFmt w:val="decimal"/>
      <w:lvlText w:val="%4."/>
      <w:lvlJc w:val="left"/>
      <w:pPr>
        <w:ind w:left="2880" w:hanging="360"/>
      </w:pPr>
    </w:lvl>
    <w:lvl w:ilvl="4" w:tplc="03DA40B0">
      <w:start w:val="1"/>
      <w:numFmt w:val="lowerLetter"/>
      <w:lvlText w:val="%5."/>
      <w:lvlJc w:val="left"/>
      <w:pPr>
        <w:ind w:left="3600" w:hanging="360"/>
      </w:pPr>
    </w:lvl>
    <w:lvl w:ilvl="5" w:tplc="EE527BAE">
      <w:start w:val="1"/>
      <w:numFmt w:val="lowerRoman"/>
      <w:lvlText w:val="%6."/>
      <w:lvlJc w:val="right"/>
      <w:pPr>
        <w:ind w:left="4320" w:hanging="180"/>
      </w:pPr>
    </w:lvl>
    <w:lvl w:ilvl="6" w:tplc="2C10DD4C">
      <w:start w:val="1"/>
      <w:numFmt w:val="decimal"/>
      <w:lvlText w:val="%7."/>
      <w:lvlJc w:val="left"/>
      <w:pPr>
        <w:ind w:left="5040" w:hanging="360"/>
      </w:pPr>
    </w:lvl>
    <w:lvl w:ilvl="7" w:tplc="33F48EA0">
      <w:start w:val="1"/>
      <w:numFmt w:val="lowerLetter"/>
      <w:lvlText w:val="%8."/>
      <w:lvlJc w:val="left"/>
      <w:pPr>
        <w:ind w:left="5760" w:hanging="360"/>
      </w:pPr>
    </w:lvl>
    <w:lvl w:ilvl="8" w:tplc="284AE95E">
      <w:start w:val="1"/>
      <w:numFmt w:val="lowerRoman"/>
      <w:lvlText w:val="%9."/>
      <w:lvlJc w:val="right"/>
      <w:pPr>
        <w:ind w:left="6480" w:hanging="180"/>
      </w:pPr>
    </w:lvl>
  </w:abstractNum>
  <w:abstractNum w:abstractNumId="15" w15:restartNumberingAfterBreak="0">
    <w:nsid w:val="7DDAD47D"/>
    <w:multiLevelType w:val="hybridMultilevel"/>
    <w:tmpl w:val="850A786E"/>
    <w:lvl w:ilvl="0" w:tplc="79A8C22C">
      <w:start w:val="17"/>
      <w:numFmt w:val="decimal"/>
      <w:lvlText w:val="%1."/>
      <w:lvlJc w:val="left"/>
      <w:pPr>
        <w:ind w:left="720" w:hanging="360"/>
      </w:pPr>
      <w:rPr>
        <w:rFonts w:ascii="Aptos" w:hAnsi="Aptos" w:hint="default"/>
      </w:rPr>
    </w:lvl>
    <w:lvl w:ilvl="1" w:tplc="AECC6724">
      <w:start w:val="1"/>
      <w:numFmt w:val="lowerLetter"/>
      <w:lvlText w:val="%2."/>
      <w:lvlJc w:val="left"/>
      <w:pPr>
        <w:ind w:left="1440" w:hanging="360"/>
      </w:pPr>
    </w:lvl>
    <w:lvl w:ilvl="2" w:tplc="638AFB6A">
      <w:start w:val="1"/>
      <w:numFmt w:val="lowerRoman"/>
      <w:lvlText w:val="%3."/>
      <w:lvlJc w:val="right"/>
      <w:pPr>
        <w:ind w:left="2160" w:hanging="180"/>
      </w:pPr>
    </w:lvl>
    <w:lvl w:ilvl="3" w:tplc="C3E0E6CA">
      <w:start w:val="1"/>
      <w:numFmt w:val="decimal"/>
      <w:lvlText w:val="%4."/>
      <w:lvlJc w:val="left"/>
      <w:pPr>
        <w:ind w:left="2880" w:hanging="360"/>
      </w:pPr>
    </w:lvl>
    <w:lvl w:ilvl="4" w:tplc="77325576">
      <w:start w:val="1"/>
      <w:numFmt w:val="lowerLetter"/>
      <w:lvlText w:val="%5."/>
      <w:lvlJc w:val="left"/>
      <w:pPr>
        <w:ind w:left="3600" w:hanging="360"/>
      </w:pPr>
    </w:lvl>
    <w:lvl w:ilvl="5" w:tplc="025E06FA">
      <w:start w:val="1"/>
      <w:numFmt w:val="lowerRoman"/>
      <w:lvlText w:val="%6."/>
      <w:lvlJc w:val="right"/>
      <w:pPr>
        <w:ind w:left="4320" w:hanging="180"/>
      </w:pPr>
    </w:lvl>
    <w:lvl w:ilvl="6" w:tplc="DEE21A92">
      <w:start w:val="1"/>
      <w:numFmt w:val="decimal"/>
      <w:lvlText w:val="%7."/>
      <w:lvlJc w:val="left"/>
      <w:pPr>
        <w:ind w:left="5040" w:hanging="360"/>
      </w:pPr>
    </w:lvl>
    <w:lvl w:ilvl="7" w:tplc="9F0633C8">
      <w:start w:val="1"/>
      <w:numFmt w:val="lowerLetter"/>
      <w:lvlText w:val="%8."/>
      <w:lvlJc w:val="left"/>
      <w:pPr>
        <w:ind w:left="5760" w:hanging="360"/>
      </w:pPr>
    </w:lvl>
    <w:lvl w:ilvl="8" w:tplc="FE8E5BF4">
      <w:start w:val="1"/>
      <w:numFmt w:val="lowerRoman"/>
      <w:lvlText w:val="%9."/>
      <w:lvlJc w:val="right"/>
      <w:pPr>
        <w:ind w:left="6480" w:hanging="180"/>
      </w:pPr>
    </w:lvl>
  </w:abstractNum>
  <w:num w:numId="1" w16cid:durableId="1011369329">
    <w:abstractNumId w:val="14"/>
  </w:num>
  <w:num w:numId="2" w16cid:durableId="1235818241">
    <w:abstractNumId w:val="8"/>
  </w:num>
  <w:num w:numId="3" w16cid:durableId="1356661123">
    <w:abstractNumId w:val="1"/>
  </w:num>
  <w:num w:numId="4" w16cid:durableId="1368064331">
    <w:abstractNumId w:val="13"/>
  </w:num>
  <w:num w:numId="5" w16cid:durableId="1396587523">
    <w:abstractNumId w:val="3"/>
  </w:num>
  <w:num w:numId="6" w16cid:durableId="1408071835">
    <w:abstractNumId w:val="11"/>
  </w:num>
  <w:num w:numId="7" w16cid:durableId="1607693148">
    <w:abstractNumId w:val="6"/>
  </w:num>
  <w:num w:numId="8" w16cid:durableId="1691490937">
    <w:abstractNumId w:val="9"/>
  </w:num>
  <w:num w:numId="9" w16cid:durableId="1852446483">
    <w:abstractNumId w:val="0"/>
  </w:num>
  <w:num w:numId="10" w16cid:durableId="2082366098">
    <w:abstractNumId w:val="7"/>
  </w:num>
  <w:num w:numId="11" w16cid:durableId="306478757">
    <w:abstractNumId w:val="12"/>
  </w:num>
  <w:num w:numId="12" w16cid:durableId="314187857">
    <w:abstractNumId w:val="15"/>
  </w:num>
  <w:num w:numId="13" w16cid:durableId="342822294">
    <w:abstractNumId w:val="2"/>
  </w:num>
  <w:num w:numId="14" w16cid:durableId="390353834">
    <w:abstractNumId w:val="4"/>
  </w:num>
  <w:num w:numId="15" w16cid:durableId="651063324">
    <w:abstractNumId w:val="5"/>
  </w:num>
  <w:num w:numId="16" w16cid:durableId="755054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8595E3"/>
    <w:rsid w:val="0004603B"/>
    <w:rsid w:val="00047A37"/>
    <w:rsid w:val="00061295"/>
    <w:rsid w:val="000E3EA0"/>
    <w:rsid w:val="000F44CF"/>
    <w:rsid w:val="0024748C"/>
    <w:rsid w:val="00251A0D"/>
    <w:rsid w:val="00260476"/>
    <w:rsid w:val="00291E0E"/>
    <w:rsid w:val="002A0161"/>
    <w:rsid w:val="002C798D"/>
    <w:rsid w:val="002E75D4"/>
    <w:rsid w:val="00316AB6"/>
    <w:rsid w:val="003414FA"/>
    <w:rsid w:val="003562E1"/>
    <w:rsid w:val="004064CE"/>
    <w:rsid w:val="00412539"/>
    <w:rsid w:val="00440453"/>
    <w:rsid w:val="00507F5C"/>
    <w:rsid w:val="005954F2"/>
    <w:rsid w:val="0059667B"/>
    <w:rsid w:val="005A0465"/>
    <w:rsid w:val="005F1C99"/>
    <w:rsid w:val="0061356F"/>
    <w:rsid w:val="00634604"/>
    <w:rsid w:val="006C3CA8"/>
    <w:rsid w:val="006F7B94"/>
    <w:rsid w:val="00705BC9"/>
    <w:rsid w:val="0071505D"/>
    <w:rsid w:val="00770793"/>
    <w:rsid w:val="007A3FE9"/>
    <w:rsid w:val="007E5FA3"/>
    <w:rsid w:val="00807D35"/>
    <w:rsid w:val="00836EF8"/>
    <w:rsid w:val="0085787B"/>
    <w:rsid w:val="0087551E"/>
    <w:rsid w:val="00895A0F"/>
    <w:rsid w:val="0095059C"/>
    <w:rsid w:val="00973C9A"/>
    <w:rsid w:val="00976EE2"/>
    <w:rsid w:val="00993FC6"/>
    <w:rsid w:val="009A039E"/>
    <w:rsid w:val="009D121B"/>
    <w:rsid w:val="009E54B9"/>
    <w:rsid w:val="00A26EB7"/>
    <w:rsid w:val="00A36F75"/>
    <w:rsid w:val="00AC476F"/>
    <w:rsid w:val="00AD1720"/>
    <w:rsid w:val="00AE0112"/>
    <w:rsid w:val="00B07CE7"/>
    <w:rsid w:val="00B927FC"/>
    <w:rsid w:val="00BC0338"/>
    <w:rsid w:val="00BD2C2D"/>
    <w:rsid w:val="00C11F2A"/>
    <w:rsid w:val="00C17D2E"/>
    <w:rsid w:val="00C732B1"/>
    <w:rsid w:val="00C8254D"/>
    <w:rsid w:val="00CA7BE8"/>
    <w:rsid w:val="00CC067A"/>
    <w:rsid w:val="00CC41FF"/>
    <w:rsid w:val="00D26273"/>
    <w:rsid w:val="00D2E594"/>
    <w:rsid w:val="00D31F55"/>
    <w:rsid w:val="00D802A5"/>
    <w:rsid w:val="00D936D8"/>
    <w:rsid w:val="00DA5AEC"/>
    <w:rsid w:val="00DC52A8"/>
    <w:rsid w:val="00DF0D9E"/>
    <w:rsid w:val="00E16071"/>
    <w:rsid w:val="00E41F56"/>
    <w:rsid w:val="00E457C4"/>
    <w:rsid w:val="00E52F03"/>
    <w:rsid w:val="00E66214"/>
    <w:rsid w:val="00E90C9A"/>
    <w:rsid w:val="00EC514D"/>
    <w:rsid w:val="00ED3248"/>
    <w:rsid w:val="00F238E2"/>
    <w:rsid w:val="00F44F87"/>
    <w:rsid w:val="00F95810"/>
    <w:rsid w:val="00FF2B6C"/>
    <w:rsid w:val="00FF4A38"/>
    <w:rsid w:val="014069B4"/>
    <w:rsid w:val="015C01FC"/>
    <w:rsid w:val="02A7A68D"/>
    <w:rsid w:val="054732A9"/>
    <w:rsid w:val="0676D472"/>
    <w:rsid w:val="06B3618B"/>
    <w:rsid w:val="0702EB2D"/>
    <w:rsid w:val="07AF24BE"/>
    <w:rsid w:val="086C3E3F"/>
    <w:rsid w:val="08B7785E"/>
    <w:rsid w:val="0ADFFFD5"/>
    <w:rsid w:val="0DA6E70D"/>
    <w:rsid w:val="0DD772CD"/>
    <w:rsid w:val="103AE732"/>
    <w:rsid w:val="1169B44F"/>
    <w:rsid w:val="11829FE2"/>
    <w:rsid w:val="1252439B"/>
    <w:rsid w:val="1269C490"/>
    <w:rsid w:val="13B82FB9"/>
    <w:rsid w:val="13F63B5A"/>
    <w:rsid w:val="1412B775"/>
    <w:rsid w:val="14B6DC3B"/>
    <w:rsid w:val="184AE134"/>
    <w:rsid w:val="1AF76591"/>
    <w:rsid w:val="1B31315F"/>
    <w:rsid w:val="1D201F99"/>
    <w:rsid w:val="1E967A03"/>
    <w:rsid w:val="1F1E3BD7"/>
    <w:rsid w:val="20824EC3"/>
    <w:rsid w:val="20C6447C"/>
    <w:rsid w:val="20F42E09"/>
    <w:rsid w:val="21E98548"/>
    <w:rsid w:val="2299B095"/>
    <w:rsid w:val="22D42B50"/>
    <w:rsid w:val="242A5F44"/>
    <w:rsid w:val="24D358CC"/>
    <w:rsid w:val="24FC6E96"/>
    <w:rsid w:val="281543C2"/>
    <w:rsid w:val="2914954E"/>
    <w:rsid w:val="2BDB3B8F"/>
    <w:rsid w:val="2C179FED"/>
    <w:rsid w:val="2CF97EB2"/>
    <w:rsid w:val="2EE0D2F3"/>
    <w:rsid w:val="2FAF6A58"/>
    <w:rsid w:val="3142B8A7"/>
    <w:rsid w:val="33613E82"/>
    <w:rsid w:val="338008B9"/>
    <w:rsid w:val="340FF6D5"/>
    <w:rsid w:val="34255C67"/>
    <w:rsid w:val="356A365B"/>
    <w:rsid w:val="36ADED9F"/>
    <w:rsid w:val="387257BE"/>
    <w:rsid w:val="3877E56F"/>
    <w:rsid w:val="387CFEFA"/>
    <w:rsid w:val="388CC71C"/>
    <w:rsid w:val="3891953D"/>
    <w:rsid w:val="39628DBA"/>
    <w:rsid w:val="3AA0C32A"/>
    <w:rsid w:val="3BF3934C"/>
    <w:rsid w:val="3E808BEB"/>
    <w:rsid w:val="3FDEB8C4"/>
    <w:rsid w:val="4136EE86"/>
    <w:rsid w:val="42022302"/>
    <w:rsid w:val="437F5C18"/>
    <w:rsid w:val="43F50189"/>
    <w:rsid w:val="456DACAF"/>
    <w:rsid w:val="45844C6C"/>
    <w:rsid w:val="45EA7B94"/>
    <w:rsid w:val="46629F6B"/>
    <w:rsid w:val="48F3D6D1"/>
    <w:rsid w:val="4971DC36"/>
    <w:rsid w:val="4CE1BBB1"/>
    <w:rsid w:val="4E21FADA"/>
    <w:rsid w:val="4F6B69DB"/>
    <w:rsid w:val="4F731759"/>
    <w:rsid w:val="4FB8D693"/>
    <w:rsid w:val="4FDE0AB1"/>
    <w:rsid w:val="505ADF23"/>
    <w:rsid w:val="5134FEEE"/>
    <w:rsid w:val="51814769"/>
    <w:rsid w:val="51828CEA"/>
    <w:rsid w:val="51F5437A"/>
    <w:rsid w:val="52BE11BC"/>
    <w:rsid w:val="53004EC5"/>
    <w:rsid w:val="5379EA9C"/>
    <w:rsid w:val="54F2E0C0"/>
    <w:rsid w:val="551CD67D"/>
    <w:rsid w:val="55E45547"/>
    <w:rsid w:val="56D3E08A"/>
    <w:rsid w:val="57842D4D"/>
    <w:rsid w:val="582284F0"/>
    <w:rsid w:val="5ADBB059"/>
    <w:rsid w:val="5C462107"/>
    <w:rsid w:val="6120867C"/>
    <w:rsid w:val="616D9BF6"/>
    <w:rsid w:val="623D43F3"/>
    <w:rsid w:val="62EA81E7"/>
    <w:rsid w:val="64549959"/>
    <w:rsid w:val="6810BA73"/>
    <w:rsid w:val="6C365CF5"/>
    <w:rsid w:val="6D6B9734"/>
    <w:rsid w:val="6D7F93B7"/>
    <w:rsid w:val="6E539D7E"/>
    <w:rsid w:val="6F32F267"/>
    <w:rsid w:val="6F581C32"/>
    <w:rsid w:val="6FCAA5BF"/>
    <w:rsid w:val="7099DFC0"/>
    <w:rsid w:val="70F658DA"/>
    <w:rsid w:val="710170BF"/>
    <w:rsid w:val="718595E3"/>
    <w:rsid w:val="7306FA89"/>
    <w:rsid w:val="738A33D2"/>
    <w:rsid w:val="75995712"/>
    <w:rsid w:val="767A3D33"/>
    <w:rsid w:val="76C469BE"/>
    <w:rsid w:val="77828F98"/>
    <w:rsid w:val="78BE54CF"/>
    <w:rsid w:val="79372C0B"/>
    <w:rsid w:val="798C4B19"/>
    <w:rsid w:val="7A165E89"/>
    <w:rsid w:val="7A1A0EF7"/>
    <w:rsid w:val="7B9A7498"/>
    <w:rsid w:val="7CBB6512"/>
    <w:rsid w:val="7D3E1A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95E3"/>
  <w15:chartTrackingRefBased/>
  <w15:docId w15:val="{0E4BCF41-3686-4820-B9E8-32A3E5FB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676D472"/>
    <w:rPr>
      <w:color w:val="467886"/>
      <w:u w:val="single"/>
    </w:rPr>
  </w:style>
  <w:style w:type="paragraph" w:styleId="ListParagraph">
    <w:name w:val="List Paragraph"/>
    <w:basedOn w:val="Normal"/>
    <w:uiPriority w:val="34"/>
    <w:qFormat/>
    <w:rsid w:val="582284F0"/>
    <w:pPr>
      <w:ind w:left="720"/>
      <w:contextualSpacing/>
    </w:pPr>
  </w:style>
  <w:style w:type="paragraph" w:styleId="Revision">
    <w:name w:val="Revision"/>
    <w:hidden/>
    <w:uiPriority w:val="99"/>
    <w:semiHidden/>
    <w:rsid w:val="00EC514D"/>
    <w:pPr>
      <w:spacing w:after="0" w:line="240" w:lineRule="auto"/>
    </w:pPr>
  </w:style>
  <w:style w:type="paragraph" w:styleId="Header">
    <w:name w:val="header"/>
    <w:basedOn w:val="Normal"/>
    <w:uiPriority w:val="99"/>
    <w:unhideWhenUsed/>
    <w:rsid w:val="582284F0"/>
    <w:pPr>
      <w:tabs>
        <w:tab w:val="center" w:pos="4680"/>
        <w:tab w:val="right" w:pos="9360"/>
      </w:tabs>
      <w:spacing w:after="0" w:line="240" w:lineRule="auto"/>
    </w:pPr>
  </w:style>
  <w:style w:type="paragraph" w:styleId="Footer">
    <w:name w:val="footer"/>
    <w:basedOn w:val="Normal"/>
    <w:link w:val="FooterChar"/>
    <w:uiPriority w:val="99"/>
    <w:unhideWhenUsed/>
    <w:rsid w:val="582284F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44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late-payments-tackling-poor-payment-practices/late-payments-consultation-tackling-poor-payment-practic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ptpayment@businessandtrad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nsultations/late-payments-tackling-poor-payment-practices/late-payments-consultation-tackling-poor-payment-prac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licy@nfrc.co.uk" TargetMode="External"/><Relationship Id="rId4" Type="http://schemas.openxmlformats.org/officeDocument/2006/relationships/settings" Target="settings.xml"/><Relationship Id="rId9" Type="http://schemas.openxmlformats.org/officeDocument/2006/relationships/hyperlink" Target="https://ditresearch.eu.qualtrics.com/jfe/form/SV_0v37vzvBpfM5Ex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4E0E-0C9C-4D49-98EA-CBEC759D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CharactersWithSpaces>
  <SharedDoc>false</SharedDoc>
  <HLinks>
    <vt:vector size="36" baseType="variant">
      <vt:variant>
        <vt:i4>917619</vt:i4>
      </vt:variant>
      <vt:variant>
        <vt:i4>15</vt:i4>
      </vt:variant>
      <vt:variant>
        <vt:i4>0</vt:i4>
      </vt:variant>
      <vt:variant>
        <vt:i4>5</vt:i4>
      </vt:variant>
      <vt:variant>
        <vt:lpwstr>mailto:promptpayment@businessandtrade.gov.uk</vt:lpwstr>
      </vt:variant>
      <vt:variant>
        <vt:lpwstr/>
      </vt:variant>
      <vt:variant>
        <vt:i4>1966194</vt:i4>
      </vt:variant>
      <vt:variant>
        <vt:i4>12</vt:i4>
      </vt:variant>
      <vt:variant>
        <vt:i4>0</vt:i4>
      </vt:variant>
      <vt:variant>
        <vt:i4>5</vt:i4>
      </vt:variant>
      <vt:variant>
        <vt:lpwstr>https://ditresearch.eu.qualtrics.com/jfe/form/SV_0v37vzvBpfM5Exw</vt:lpwstr>
      </vt:variant>
      <vt:variant>
        <vt:lpwstr/>
      </vt:variant>
      <vt:variant>
        <vt:i4>65548</vt:i4>
      </vt:variant>
      <vt:variant>
        <vt:i4>9</vt:i4>
      </vt:variant>
      <vt:variant>
        <vt:i4>0</vt:i4>
      </vt:variant>
      <vt:variant>
        <vt:i4>5</vt:i4>
      </vt:variant>
      <vt:variant>
        <vt:lpwstr>https://www.gov.uk/government/consultations/late-payments-tackling-poor-payment-practices/late-payments-consultation-tackling-poor-payment-practices</vt:lpwstr>
      </vt:variant>
      <vt:variant>
        <vt:lpwstr/>
      </vt:variant>
      <vt:variant>
        <vt:i4>8257565</vt:i4>
      </vt:variant>
      <vt:variant>
        <vt:i4>6</vt:i4>
      </vt:variant>
      <vt:variant>
        <vt:i4>0</vt:i4>
      </vt:variant>
      <vt:variant>
        <vt:i4>5</vt:i4>
      </vt:variant>
      <vt:variant>
        <vt:lpwstr>mailto:policy@nfrc.co.uk</vt:lpwstr>
      </vt:variant>
      <vt:variant>
        <vt:lpwstr/>
      </vt:variant>
      <vt:variant>
        <vt:i4>1966194</vt:i4>
      </vt:variant>
      <vt:variant>
        <vt:i4>3</vt:i4>
      </vt:variant>
      <vt:variant>
        <vt:i4>0</vt:i4>
      </vt:variant>
      <vt:variant>
        <vt:i4>5</vt:i4>
      </vt:variant>
      <vt:variant>
        <vt:lpwstr>https://ditresearch.eu.qualtrics.com/jfe/form/SV_0v37vzvBpfM5Exw</vt:lpwstr>
      </vt:variant>
      <vt:variant>
        <vt:lpwstr/>
      </vt:variant>
      <vt:variant>
        <vt:i4>65548</vt:i4>
      </vt:variant>
      <vt:variant>
        <vt:i4>0</vt:i4>
      </vt:variant>
      <vt:variant>
        <vt:i4>0</vt:i4>
      </vt:variant>
      <vt:variant>
        <vt:i4>5</vt:i4>
      </vt:variant>
      <vt:variant>
        <vt:lpwstr>https://www.gov.uk/government/consultations/late-payments-tackling-poor-payment-practices/late-payments-consultation-tackling-poor-payment-practices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Gibson</dc:creator>
  <cp:keywords/>
  <dc:description/>
  <cp:lastModifiedBy>Gray Gibson</cp:lastModifiedBy>
  <cp:revision>6</cp:revision>
  <dcterms:created xsi:type="dcterms:W3CDTF">2025-09-22T15:17:00Z</dcterms:created>
  <dcterms:modified xsi:type="dcterms:W3CDTF">2025-09-24T15:09:00Z</dcterms:modified>
</cp:coreProperties>
</file>