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76AF" w14:textId="0ECA40EC" w:rsidR="00BC0338" w:rsidRPr="00D53A41" w:rsidRDefault="2EE0D2F3" w:rsidP="0676D472">
      <w:pPr>
        <w:spacing w:after="0"/>
        <w:jc w:val="center"/>
        <w:rPr>
          <w:rFonts w:ascii="Aptos" w:eastAsia="Aptos" w:hAnsi="Aptos" w:cs="Aptos"/>
          <w:color w:val="000000" w:themeColor="text1"/>
          <w:lang w:val="fr-FR"/>
        </w:rPr>
      </w:pPr>
      <w:r w:rsidRPr="00D53A41">
        <w:rPr>
          <w:rFonts w:ascii="Aptos" w:eastAsia="Aptos" w:hAnsi="Aptos" w:cs="Aptos"/>
          <w:color w:val="000000" w:themeColor="text1"/>
          <w:sz w:val="34"/>
          <w:szCs w:val="34"/>
          <w:u w:val="single"/>
          <w:lang w:val="fr-FR"/>
        </w:rPr>
        <w:t xml:space="preserve">Retentions Consultation </w:t>
      </w:r>
      <w:proofErr w:type="spellStart"/>
      <w:r w:rsidRPr="00D53A41">
        <w:rPr>
          <w:rFonts w:ascii="Aptos" w:eastAsia="Aptos" w:hAnsi="Aptos" w:cs="Aptos"/>
          <w:color w:val="000000" w:themeColor="text1"/>
          <w:sz w:val="34"/>
          <w:szCs w:val="34"/>
          <w:u w:val="single"/>
          <w:lang w:val="fr-FR"/>
        </w:rPr>
        <w:t>Response</w:t>
      </w:r>
      <w:proofErr w:type="spellEnd"/>
      <w:r w:rsidRPr="00D53A41">
        <w:rPr>
          <w:rFonts w:ascii="Aptos" w:eastAsia="Aptos" w:hAnsi="Aptos" w:cs="Aptos"/>
          <w:color w:val="000000" w:themeColor="text1"/>
          <w:sz w:val="34"/>
          <w:szCs w:val="34"/>
          <w:u w:val="single"/>
          <w:lang w:val="fr-FR"/>
        </w:rPr>
        <w:t xml:space="preserve"> Guide</w:t>
      </w:r>
      <w:r w:rsidRPr="00D53A41">
        <w:rPr>
          <w:rFonts w:ascii="Aptos" w:eastAsia="Aptos" w:hAnsi="Aptos" w:cs="Aptos"/>
          <w:color w:val="000000" w:themeColor="text1"/>
          <w:lang w:val="fr-FR"/>
        </w:rPr>
        <w:t xml:space="preserve"> </w:t>
      </w:r>
    </w:p>
    <w:p w14:paraId="0509483C" w14:textId="3E18411B" w:rsidR="00BC0338" w:rsidRPr="00D53A41" w:rsidRDefault="00BC0338" w:rsidP="0676D472">
      <w:pPr>
        <w:spacing w:after="0"/>
        <w:rPr>
          <w:rFonts w:ascii="Aptos" w:eastAsia="Aptos" w:hAnsi="Aptos" w:cs="Aptos"/>
          <w:color w:val="000000" w:themeColor="text1"/>
          <w:sz w:val="22"/>
          <w:szCs w:val="22"/>
          <w:lang w:val="fr-FR"/>
        </w:rPr>
      </w:pPr>
    </w:p>
    <w:p w14:paraId="6D1ECADC" w14:textId="126B0F28" w:rsidR="00BC0338" w:rsidRPr="00D53A41" w:rsidRDefault="2EE0D2F3" w:rsidP="0676D472">
      <w:pPr>
        <w:spacing w:after="0"/>
        <w:rPr>
          <w:rFonts w:ascii="Aptos" w:eastAsia="Aptos" w:hAnsi="Aptos" w:cs="Aptos"/>
          <w:color w:val="000000" w:themeColor="text1"/>
          <w:lang w:val="fr-FR"/>
        </w:rPr>
      </w:pPr>
      <w:proofErr w:type="spellStart"/>
      <w:r w:rsidRPr="00D53A41">
        <w:rPr>
          <w:rFonts w:ascii="Aptos" w:eastAsia="Aptos" w:hAnsi="Aptos" w:cs="Aptos"/>
          <w:color w:val="000000" w:themeColor="text1"/>
          <w:u w:val="single"/>
          <w:lang w:val="fr-FR"/>
        </w:rPr>
        <w:t>Context</w:t>
      </w:r>
      <w:proofErr w:type="spellEnd"/>
      <w:r w:rsidRPr="00D53A41">
        <w:rPr>
          <w:rFonts w:ascii="Aptos" w:eastAsia="Aptos" w:hAnsi="Aptos" w:cs="Aptos"/>
          <w:color w:val="000000" w:themeColor="text1"/>
          <w:u w:val="single"/>
          <w:lang w:val="fr-FR"/>
        </w:rPr>
        <w:t>:</w:t>
      </w:r>
    </w:p>
    <w:p w14:paraId="4678558C" w14:textId="1E21288E" w:rsidR="00BC0338" w:rsidRDefault="2EE0D2F3" w:rsidP="0676D472">
      <w:pPr>
        <w:spacing w:before="240" w:after="240"/>
        <w:rPr>
          <w:rFonts w:ascii="Aptos" w:eastAsia="Aptos" w:hAnsi="Aptos" w:cs="Aptos"/>
          <w:color w:val="000000" w:themeColor="text1"/>
        </w:rPr>
      </w:pPr>
      <w:r w:rsidRPr="0676D472">
        <w:rPr>
          <w:rFonts w:ascii="Aptos" w:eastAsia="Aptos" w:hAnsi="Aptos" w:cs="Aptos"/>
          <w:color w:val="000000" w:themeColor="text1"/>
        </w:rPr>
        <w:t xml:space="preserve">This document is </w:t>
      </w:r>
      <w:r w:rsidR="13F63B5A" w:rsidRPr="0676D472">
        <w:rPr>
          <w:rFonts w:ascii="Aptos" w:eastAsia="Aptos" w:hAnsi="Aptos" w:cs="Aptos"/>
          <w:color w:val="000000" w:themeColor="text1"/>
        </w:rPr>
        <w:t>design</w:t>
      </w:r>
      <w:r w:rsidRPr="0676D472">
        <w:rPr>
          <w:rFonts w:ascii="Aptos" w:eastAsia="Aptos" w:hAnsi="Aptos" w:cs="Aptos"/>
          <w:color w:val="000000" w:themeColor="text1"/>
        </w:rPr>
        <w:t xml:space="preserve">ed to help NFRC Members respond to the </w:t>
      </w:r>
      <w:hyperlink r:id="rId8">
        <w:r w:rsidRPr="0676D472">
          <w:rPr>
            <w:rStyle w:val="Hyperlink"/>
            <w:rFonts w:ascii="Aptos" w:eastAsia="Aptos" w:hAnsi="Aptos" w:cs="Aptos"/>
          </w:rPr>
          <w:t>government’s consultation on late payments and retentions</w:t>
        </w:r>
      </w:hyperlink>
      <w:r w:rsidRPr="0676D472">
        <w:rPr>
          <w:rFonts w:ascii="Aptos" w:eastAsia="Aptos" w:hAnsi="Aptos" w:cs="Aptos"/>
          <w:color w:val="000000" w:themeColor="text1"/>
        </w:rPr>
        <w:t xml:space="preserve">. To complete the consultation survey, </w:t>
      </w:r>
      <w:hyperlink r:id="rId9">
        <w:r w:rsidRPr="0676D472">
          <w:rPr>
            <w:rStyle w:val="Hyperlink"/>
            <w:rFonts w:ascii="Aptos" w:eastAsia="Aptos" w:hAnsi="Aptos" w:cs="Aptos"/>
          </w:rPr>
          <w:t>follow this link</w:t>
        </w:r>
      </w:hyperlink>
      <w:r w:rsidRPr="0676D472">
        <w:rPr>
          <w:rFonts w:ascii="Aptos" w:eastAsia="Aptos" w:hAnsi="Aptos" w:cs="Aptos"/>
          <w:color w:val="000000" w:themeColor="text1"/>
        </w:rPr>
        <w:t xml:space="preserve"> and fill in the required fields. You may copy the suggested responses </w:t>
      </w:r>
      <w:r w:rsidR="42022302" w:rsidRPr="0676D472">
        <w:rPr>
          <w:rFonts w:ascii="Aptos" w:eastAsia="Aptos" w:hAnsi="Aptos" w:cs="Aptos"/>
          <w:color w:val="000000" w:themeColor="text1"/>
        </w:rPr>
        <w:t xml:space="preserve">from </w:t>
      </w:r>
      <w:r w:rsidRPr="0676D472">
        <w:rPr>
          <w:rFonts w:ascii="Aptos" w:eastAsia="Aptos" w:hAnsi="Aptos" w:cs="Aptos"/>
          <w:color w:val="000000" w:themeColor="text1"/>
        </w:rPr>
        <w:t>below into the relevant question</w:t>
      </w:r>
      <w:r w:rsidR="51814769" w:rsidRPr="0676D472">
        <w:rPr>
          <w:rFonts w:ascii="Aptos" w:eastAsia="Aptos" w:hAnsi="Aptos" w:cs="Aptos"/>
          <w:color w:val="000000" w:themeColor="text1"/>
        </w:rPr>
        <w:t xml:space="preserve"> fields</w:t>
      </w:r>
      <w:r w:rsidRPr="0676D472">
        <w:rPr>
          <w:rFonts w:ascii="Aptos" w:eastAsia="Aptos" w:hAnsi="Aptos" w:cs="Aptos"/>
          <w:color w:val="000000" w:themeColor="text1"/>
        </w:rPr>
        <w:t>, but we encourage you to add your own insights wherever possible</w:t>
      </w:r>
      <w:r w:rsidR="78BE54CF" w:rsidRPr="0676D472">
        <w:rPr>
          <w:rFonts w:ascii="Aptos" w:eastAsia="Aptos" w:hAnsi="Aptos" w:cs="Aptos"/>
          <w:color w:val="000000" w:themeColor="text1"/>
        </w:rPr>
        <w:t xml:space="preserve"> and share stories of your own experiences</w:t>
      </w:r>
      <w:r w:rsidRPr="0676D472">
        <w:rPr>
          <w:rFonts w:ascii="Aptos" w:eastAsia="Aptos" w:hAnsi="Aptos" w:cs="Aptos"/>
          <w:color w:val="000000" w:themeColor="text1"/>
        </w:rPr>
        <w:t>.</w:t>
      </w:r>
    </w:p>
    <w:p w14:paraId="57222476" w14:textId="06874250" w:rsidR="00E05E93" w:rsidRPr="00E05E93" w:rsidRDefault="00E05E93" w:rsidP="00E05E93">
      <w:pPr>
        <w:spacing w:after="0"/>
        <w:rPr>
          <w:rFonts w:ascii="Aptos" w:eastAsia="Aptos" w:hAnsi="Aptos" w:cs="Aptos"/>
          <w:color w:val="000000" w:themeColor="text1"/>
        </w:rPr>
      </w:pPr>
      <w:r w:rsidRPr="00E05E93">
        <w:rPr>
          <w:rFonts w:ascii="Aptos" w:eastAsia="Aptos" w:hAnsi="Aptos" w:cs="Aptos"/>
          <w:color w:val="000000" w:themeColor="text1"/>
        </w:rPr>
        <w:t>This response emphasises support for</w:t>
      </w:r>
      <w:r w:rsidR="00D53A41">
        <w:rPr>
          <w:rFonts w:ascii="Aptos" w:eastAsia="Aptos" w:hAnsi="Aptos" w:cs="Aptos"/>
          <w:color w:val="000000" w:themeColor="text1"/>
        </w:rPr>
        <w:t xml:space="preserve"> the complete prohibition of</w:t>
      </w:r>
      <w:r w:rsidRPr="00E05E93">
        <w:rPr>
          <w:rFonts w:ascii="Aptos" w:eastAsia="Aptos" w:hAnsi="Aptos" w:cs="Aptos"/>
          <w:color w:val="000000" w:themeColor="text1"/>
        </w:rPr>
        <w:t xml:space="preserve"> retention </w:t>
      </w:r>
      <w:r w:rsidR="00D53A41">
        <w:rPr>
          <w:rFonts w:ascii="Aptos" w:eastAsia="Aptos" w:hAnsi="Aptos" w:cs="Aptos"/>
          <w:color w:val="000000" w:themeColor="text1"/>
        </w:rPr>
        <w:t xml:space="preserve">clauses </w:t>
      </w:r>
      <w:r w:rsidRPr="00E05E93">
        <w:rPr>
          <w:rFonts w:ascii="Aptos" w:eastAsia="Aptos" w:hAnsi="Aptos" w:cs="Aptos"/>
          <w:color w:val="000000" w:themeColor="text1"/>
        </w:rPr>
        <w:t xml:space="preserve">and we recommend that, after filling out the personal information at the beginning of the survey, you skip ahead to question 17a.  </w:t>
      </w:r>
    </w:p>
    <w:p w14:paraId="53DDA459" w14:textId="77777777" w:rsidR="00E05E93" w:rsidRPr="00E05E93" w:rsidRDefault="00E05E93" w:rsidP="00E05E93">
      <w:pPr>
        <w:spacing w:after="0"/>
        <w:rPr>
          <w:rFonts w:ascii="Aptos" w:eastAsia="Aptos" w:hAnsi="Aptos" w:cs="Aptos"/>
          <w:color w:val="000000" w:themeColor="text1"/>
        </w:rPr>
      </w:pPr>
    </w:p>
    <w:p w14:paraId="78F6DE9E" w14:textId="77777777" w:rsidR="00E05E93" w:rsidRPr="00E05E93" w:rsidRDefault="00E05E93" w:rsidP="00E05E93">
      <w:pPr>
        <w:spacing w:after="0"/>
        <w:rPr>
          <w:rFonts w:ascii="Aptos" w:eastAsia="Aptos" w:hAnsi="Aptos" w:cs="Aptos"/>
          <w:color w:val="000000" w:themeColor="text1"/>
        </w:rPr>
      </w:pPr>
      <w:r w:rsidRPr="00E05E93">
        <w:rPr>
          <w:rFonts w:ascii="Aptos" w:eastAsia="Aptos" w:hAnsi="Aptos" w:cs="Aptos"/>
          <w:color w:val="000000" w:themeColor="text1"/>
        </w:rPr>
        <w:t xml:space="preserve">Thank you for contributing. Broad participation is essential if we are to secure meaningful reform of payment practices in construction. Please share this guide with other businesses that would benefit from improved payment practices. </w:t>
      </w:r>
    </w:p>
    <w:p w14:paraId="31C75001" w14:textId="77777777" w:rsidR="00E05E93" w:rsidRPr="00E05E93" w:rsidRDefault="00E05E93" w:rsidP="00E05E93">
      <w:pPr>
        <w:spacing w:after="0"/>
        <w:rPr>
          <w:rFonts w:ascii="Aptos" w:eastAsia="Aptos" w:hAnsi="Aptos" w:cs="Aptos"/>
          <w:color w:val="000000" w:themeColor="text1"/>
        </w:rPr>
      </w:pPr>
    </w:p>
    <w:p w14:paraId="78478DC3" w14:textId="77777777" w:rsidR="00E05E93" w:rsidRDefault="00E05E93" w:rsidP="00E05E93">
      <w:pPr>
        <w:spacing w:after="0"/>
        <w:rPr>
          <w:rFonts w:ascii="Aptos" w:eastAsia="Aptos" w:hAnsi="Aptos" w:cs="Aptos"/>
          <w:color w:val="000000" w:themeColor="text1"/>
        </w:rPr>
      </w:pPr>
      <w:r w:rsidRPr="00E05E93">
        <w:rPr>
          <w:rFonts w:ascii="Aptos" w:eastAsia="Aptos" w:hAnsi="Aptos" w:cs="Aptos"/>
          <w:color w:val="000000" w:themeColor="text1"/>
        </w:rPr>
        <w:t xml:space="preserve">If you have any questions or would like assistance with completing your response, please contact policy@nfrc.co.uk  </w:t>
      </w:r>
    </w:p>
    <w:p w14:paraId="3469BE70" w14:textId="77777777" w:rsidR="00E05E93" w:rsidRDefault="00E05E93" w:rsidP="00E05E93">
      <w:pPr>
        <w:spacing w:after="0"/>
        <w:rPr>
          <w:rFonts w:ascii="Aptos" w:eastAsia="Aptos" w:hAnsi="Aptos" w:cs="Aptos"/>
          <w:color w:val="000000" w:themeColor="text1"/>
        </w:rPr>
      </w:pPr>
    </w:p>
    <w:p w14:paraId="095937B4" w14:textId="6C1673EA" w:rsidR="00BC0338" w:rsidRDefault="4F731759" w:rsidP="00E05E93">
      <w:pPr>
        <w:spacing w:after="0"/>
        <w:rPr>
          <w:rFonts w:ascii="Aptos" w:eastAsia="Aptos" w:hAnsi="Aptos" w:cs="Aptos"/>
        </w:rPr>
      </w:pPr>
      <w:r w:rsidRPr="0676D472">
        <w:rPr>
          <w:rFonts w:ascii="Aptos" w:eastAsia="Aptos" w:hAnsi="Aptos" w:cs="Aptos"/>
          <w:color w:val="000000" w:themeColor="text1"/>
        </w:rPr>
        <w:t xml:space="preserve">If you wish, you can </w:t>
      </w:r>
      <w:hyperlink r:id="rId10">
        <w:r w:rsidRPr="0676D472">
          <w:rPr>
            <w:rStyle w:val="Hyperlink"/>
            <w:rFonts w:ascii="Aptos" w:eastAsia="Aptos" w:hAnsi="Aptos" w:cs="Aptos"/>
          </w:rPr>
          <w:t>r</w:t>
        </w:r>
        <w:r w:rsidR="2EE0D2F3" w:rsidRPr="0676D472">
          <w:rPr>
            <w:rStyle w:val="Hyperlink"/>
            <w:rFonts w:ascii="Aptos" w:eastAsia="Aptos" w:hAnsi="Aptos" w:cs="Aptos"/>
          </w:rPr>
          <w:t xml:space="preserve">ead the </w:t>
        </w:r>
        <w:r w:rsidR="20C6447C" w:rsidRPr="0676D472">
          <w:rPr>
            <w:rStyle w:val="Hyperlink"/>
            <w:rFonts w:ascii="Aptos" w:eastAsia="Aptos" w:hAnsi="Aptos" w:cs="Aptos"/>
          </w:rPr>
          <w:t xml:space="preserve">government’s </w:t>
        </w:r>
        <w:r w:rsidR="2EE0D2F3" w:rsidRPr="0676D472">
          <w:rPr>
            <w:rStyle w:val="Hyperlink"/>
            <w:rFonts w:ascii="Aptos" w:eastAsia="Aptos" w:hAnsi="Aptos" w:cs="Aptos"/>
          </w:rPr>
          <w:t>full consultation here</w:t>
        </w:r>
      </w:hyperlink>
      <w:r w:rsidR="015C01FC" w:rsidRPr="0676D472">
        <w:rPr>
          <w:rFonts w:ascii="Aptos" w:eastAsia="Aptos" w:hAnsi="Aptos" w:cs="Aptos"/>
          <w:color w:val="000000" w:themeColor="text1"/>
        </w:rPr>
        <w:t>.</w:t>
      </w:r>
    </w:p>
    <w:p w14:paraId="1259FAFB" w14:textId="3FD87CF0" w:rsidR="00BC0338" w:rsidRDefault="2EE0D2F3" w:rsidP="0676D472">
      <w:pPr>
        <w:spacing w:after="0"/>
        <w:rPr>
          <w:rFonts w:ascii="Aptos" w:eastAsia="Aptos" w:hAnsi="Aptos" w:cs="Aptos"/>
        </w:rPr>
      </w:pPr>
      <w:r w:rsidRPr="0676D472">
        <w:rPr>
          <w:rFonts w:ascii="Aptos" w:eastAsia="Aptos" w:hAnsi="Aptos" w:cs="Aptos"/>
          <w:color w:val="000000" w:themeColor="text1"/>
        </w:rPr>
        <w:t xml:space="preserve"> </w:t>
      </w:r>
    </w:p>
    <w:p w14:paraId="7F84D3E6" w14:textId="77777777" w:rsidR="007C6C51" w:rsidRPr="007C6C51" w:rsidRDefault="007C6C51" w:rsidP="007C6C51">
      <w:pPr>
        <w:spacing w:after="0"/>
        <w:rPr>
          <w:rFonts w:ascii="Aptos" w:eastAsia="Aptos" w:hAnsi="Aptos" w:cs="Aptos"/>
          <w:color w:val="000000" w:themeColor="text1"/>
        </w:rPr>
      </w:pPr>
      <w:r w:rsidRPr="007C6C51">
        <w:rPr>
          <w:rFonts w:ascii="Aptos" w:eastAsia="Aptos" w:hAnsi="Aptos" w:cs="Aptos"/>
          <w:b/>
          <w:bCs/>
          <w:color w:val="EE0000"/>
        </w:rPr>
        <w:t>Respond here:</w:t>
      </w:r>
      <w:r w:rsidRPr="007C6C51">
        <w:rPr>
          <w:rFonts w:ascii="Aptos" w:eastAsia="Aptos" w:hAnsi="Aptos" w:cs="Aptos"/>
          <w:color w:val="EE0000"/>
        </w:rPr>
        <w:t xml:space="preserve"> </w:t>
      </w:r>
      <w:r w:rsidRPr="007C6C51">
        <w:rPr>
          <w:rFonts w:ascii="Aptos" w:eastAsia="Aptos" w:hAnsi="Aptos" w:cs="Aptos"/>
          <w:color w:val="000000" w:themeColor="text1"/>
        </w:rPr>
        <w:t xml:space="preserve">https://ditresearch.eu.qualtrics.com/jfe/form/SV_0v37vzvBpfM5Exw </w:t>
      </w:r>
    </w:p>
    <w:p w14:paraId="25C21B2A" w14:textId="77777777" w:rsidR="007C6C51" w:rsidRPr="007C6C51" w:rsidRDefault="007C6C51" w:rsidP="007C6C51">
      <w:pPr>
        <w:spacing w:after="0"/>
        <w:rPr>
          <w:rFonts w:ascii="Aptos" w:eastAsia="Aptos" w:hAnsi="Aptos" w:cs="Aptos"/>
          <w:color w:val="000000" w:themeColor="text1"/>
        </w:rPr>
      </w:pPr>
    </w:p>
    <w:p w14:paraId="20D2140B" w14:textId="2298D06F" w:rsidR="00D53A41" w:rsidRDefault="007C6C51" w:rsidP="007C6C51">
      <w:pPr>
        <w:spacing w:after="0"/>
        <w:rPr>
          <w:rFonts w:ascii="Aptos" w:eastAsia="Aptos" w:hAnsi="Aptos" w:cs="Aptos"/>
          <w:color w:val="000000" w:themeColor="text1"/>
        </w:rPr>
      </w:pPr>
      <w:r w:rsidRPr="007C6C51">
        <w:rPr>
          <w:rFonts w:ascii="Aptos" w:eastAsia="Aptos" w:hAnsi="Aptos" w:cs="Aptos"/>
          <w:color w:val="000000" w:themeColor="text1"/>
        </w:rPr>
        <w:t>The consultation closes on 23 October 2025 so make sure you respond before then.</w:t>
      </w:r>
    </w:p>
    <w:p w14:paraId="7CDCC58B" w14:textId="77777777" w:rsidR="007C6C51" w:rsidRDefault="007C6C51" w:rsidP="007C6C51">
      <w:pPr>
        <w:spacing w:after="0"/>
        <w:rPr>
          <w:rFonts w:ascii="Aptos" w:eastAsia="Aptos" w:hAnsi="Aptos" w:cs="Aptos"/>
          <w:color w:val="000000" w:themeColor="text1"/>
        </w:rPr>
      </w:pPr>
    </w:p>
    <w:p w14:paraId="659D25BF" w14:textId="5817B6F1" w:rsidR="00BC0338" w:rsidRDefault="2EE0D2F3" w:rsidP="0676D472">
      <w:pPr>
        <w:spacing w:after="0"/>
        <w:rPr>
          <w:rFonts w:ascii="Aptos" w:eastAsia="Aptos" w:hAnsi="Aptos" w:cs="Aptos"/>
          <w:color w:val="000000" w:themeColor="text1"/>
        </w:rPr>
      </w:pPr>
      <w:r w:rsidRPr="0676D472">
        <w:rPr>
          <w:rFonts w:ascii="Aptos" w:eastAsia="Aptos" w:hAnsi="Aptos" w:cs="Aptos"/>
          <w:color w:val="000000" w:themeColor="text1"/>
        </w:rPr>
        <w:t xml:space="preserve">Or email your response to: </w:t>
      </w:r>
      <w:hyperlink r:id="rId11">
        <w:r w:rsidRPr="0676D472">
          <w:rPr>
            <w:rStyle w:val="Hyperlink"/>
            <w:rFonts w:ascii="Aptos" w:eastAsia="Aptos" w:hAnsi="Aptos" w:cs="Aptos"/>
          </w:rPr>
          <w:t>promptpayment@businessandtrade.gov.uk</w:t>
        </w:r>
      </w:hyperlink>
    </w:p>
    <w:p w14:paraId="1643935E" w14:textId="694B9415" w:rsidR="00BC0338" w:rsidRDefault="00BC0338" w:rsidP="0676D472">
      <w:pPr>
        <w:spacing w:after="0"/>
        <w:rPr>
          <w:rFonts w:ascii="Aptos" w:eastAsia="Aptos" w:hAnsi="Aptos" w:cs="Aptos"/>
          <w:color w:val="000000" w:themeColor="text1"/>
        </w:rPr>
      </w:pPr>
    </w:p>
    <w:p w14:paraId="5F66949A" w14:textId="7CD994EE" w:rsidR="00BC0338" w:rsidRDefault="2299B095" w:rsidP="0676D472">
      <w:pPr>
        <w:spacing w:after="0"/>
        <w:rPr>
          <w:rFonts w:ascii="Aptos" w:eastAsia="Aptos" w:hAnsi="Aptos" w:cs="Aptos"/>
          <w:color w:val="000000" w:themeColor="text1"/>
        </w:rPr>
      </w:pPr>
      <w:r w:rsidRPr="0676D472">
        <w:rPr>
          <w:rFonts w:ascii="Aptos" w:eastAsia="Aptos" w:hAnsi="Aptos" w:cs="Aptos"/>
          <w:color w:val="000000" w:themeColor="text1"/>
        </w:rPr>
        <w:t>Continue reading for the response guide.</w:t>
      </w:r>
    </w:p>
    <w:p w14:paraId="3A0EF28C" w14:textId="7DD721A0" w:rsidR="00BC0338" w:rsidRDefault="00BC0338" w:rsidP="0676D472">
      <w:pPr>
        <w:spacing w:after="0"/>
        <w:rPr>
          <w:rFonts w:ascii="Aptos" w:eastAsia="Aptos" w:hAnsi="Aptos" w:cs="Aptos"/>
          <w:color w:val="000000" w:themeColor="text1"/>
        </w:rPr>
      </w:pPr>
    </w:p>
    <w:p w14:paraId="4D1F41D4" w14:textId="1AA7CDE5" w:rsidR="00BC0338" w:rsidRDefault="00BC0338" w:rsidP="0676D472">
      <w:pPr>
        <w:spacing w:after="0"/>
        <w:rPr>
          <w:rFonts w:ascii="Aptos" w:eastAsia="Aptos" w:hAnsi="Aptos" w:cs="Aptos"/>
          <w:color w:val="000000" w:themeColor="text1"/>
        </w:rPr>
      </w:pPr>
    </w:p>
    <w:p w14:paraId="78866A70" w14:textId="36BCF2E0" w:rsidR="00BC0338" w:rsidRDefault="00BC0338" w:rsidP="0676D472">
      <w:pPr>
        <w:spacing w:after="0"/>
        <w:rPr>
          <w:rFonts w:ascii="Aptos" w:eastAsia="Aptos" w:hAnsi="Aptos" w:cs="Aptos"/>
          <w:color w:val="000000" w:themeColor="text1"/>
        </w:rPr>
      </w:pPr>
    </w:p>
    <w:p w14:paraId="56B4B276" w14:textId="150E3D63" w:rsidR="00BC0338" w:rsidRDefault="00BC0338" w:rsidP="0676D472">
      <w:pPr>
        <w:spacing w:after="0"/>
        <w:rPr>
          <w:rFonts w:ascii="Aptos" w:eastAsia="Aptos" w:hAnsi="Aptos" w:cs="Aptos"/>
          <w:color w:val="000000" w:themeColor="text1"/>
        </w:rPr>
      </w:pPr>
    </w:p>
    <w:p w14:paraId="7CF35A94" w14:textId="3B74A78D" w:rsidR="00BC0338" w:rsidRDefault="00BC0338" w:rsidP="0676D472">
      <w:pPr>
        <w:spacing w:after="0"/>
        <w:rPr>
          <w:rFonts w:ascii="Aptos" w:eastAsia="Aptos" w:hAnsi="Aptos" w:cs="Aptos"/>
          <w:color w:val="000000" w:themeColor="text1"/>
        </w:rPr>
      </w:pPr>
    </w:p>
    <w:p w14:paraId="70A7B4EA" w14:textId="7F07F021" w:rsidR="00BC0338" w:rsidRDefault="00BC0338" w:rsidP="0676D472">
      <w:pPr>
        <w:spacing w:after="0"/>
        <w:rPr>
          <w:rFonts w:ascii="Aptos" w:eastAsia="Aptos" w:hAnsi="Aptos" w:cs="Aptos"/>
          <w:color w:val="000000" w:themeColor="text1"/>
        </w:rPr>
      </w:pPr>
    </w:p>
    <w:p w14:paraId="4BFBC7DC" w14:textId="2BCCE77C" w:rsidR="00BC0338" w:rsidRDefault="00BC0338" w:rsidP="0676D472">
      <w:pPr>
        <w:spacing w:after="0"/>
        <w:rPr>
          <w:rFonts w:ascii="Aptos" w:eastAsia="Aptos" w:hAnsi="Aptos" w:cs="Aptos"/>
          <w:color w:val="000000" w:themeColor="text1"/>
        </w:rPr>
      </w:pPr>
    </w:p>
    <w:p w14:paraId="421BD9A0" w14:textId="7E696606" w:rsidR="00BC0338" w:rsidRDefault="00BC0338" w:rsidP="0676D472">
      <w:pPr>
        <w:spacing w:after="0"/>
        <w:rPr>
          <w:rFonts w:ascii="Aptos" w:eastAsia="Aptos" w:hAnsi="Aptos" w:cs="Aptos"/>
          <w:color w:val="000000" w:themeColor="text1"/>
        </w:rPr>
      </w:pPr>
    </w:p>
    <w:p w14:paraId="7C1A5B5A" w14:textId="41ECE5C0" w:rsidR="00BC0338" w:rsidRDefault="00BC0338" w:rsidP="0676D472">
      <w:pPr>
        <w:spacing w:after="0"/>
        <w:rPr>
          <w:rFonts w:ascii="Aptos" w:eastAsia="Aptos" w:hAnsi="Aptos" w:cs="Aptos"/>
          <w:color w:val="000000" w:themeColor="text1"/>
        </w:rPr>
      </w:pPr>
    </w:p>
    <w:p w14:paraId="371B5581" w14:textId="372C2462" w:rsidR="00BC0338" w:rsidRDefault="00BC0338" w:rsidP="0676D472">
      <w:pPr>
        <w:spacing w:after="0"/>
        <w:rPr>
          <w:rFonts w:ascii="Aptos" w:eastAsia="Aptos" w:hAnsi="Aptos" w:cs="Aptos"/>
          <w:color w:val="000000" w:themeColor="text1"/>
        </w:rPr>
      </w:pPr>
    </w:p>
    <w:p w14:paraId="70F760EA" w14:textId="0AE05FD9" w:rsidR="00BC0338" w:rsidRDefault="00BC0338" w:rsidP="0676D472">
      <w:pPr>
        <w:spacing w:after="0"/>
        <w:rPr>
          <w:rFonts w:ascii="Aptos" w:eastAsia="Aptos" w:hAnsi="Aptos" w:cs="Aptos"/>
          <w:color w:val="000000" w:themeColor="text1"/>
        </w:rPr>
      </w:pPr>
    </w:p>
    <w:p w14:paraId="34EDA2D9" w14:textId="2F7F97AB" w:rsidR="00BC0338" w:rsidRDefault="00BC0338" w:rsidP="0676D472">
      <w:pPr>
        <w:spacing w:after="0"/>
        <w:rPr>
          <w:rFonts w:ascii="Aptos" w:eastAsia="Aptos" w:hAnsi="Aptos" w:cs="Aptos"/>
          <w:color w:val="000000" w:themeColor="text1"/>
          <w:u w:val="single"/>
        </w:rPr>
      </w:pPr>
    </w:p>
    <w:p w14:paraId="3650A895" w14:textId="7D4E1E09" w:rsidR="00BC0338" w:rsidRDefault="00BC0338" w:rsidP="0676D472">
      <w:pPr>
        <w:spacing w:after="0"/>
        <w:rPr>
          <w:rFonts w:ascii="Aptos" w:eastAsia="Aptos" w:hAnsi="Aptos" w:cs="Aptos"/>
          <w:color w:val="000000" w:themeColor="text1"/>
          <w:u w:val="single"/>
        </w:rPr>
      </w:pPr>
    </w:p>
    <w:p w14:paraId="06303C26" w14:textId="77777777" w:rsidR="002C798D" w:rsidRDefault="002C798D" w:rsidP="0676D472">
      <w:pPr>
        <w:spacing w:after="0"/>
        <w:rPr>
          <w:rFonts w:ascii="Aptos" w:eastAsia="Aptos" w:hAnsi="Aptos" w:cs="Aptos"/>
          <w:color w:val="000000" w:themeColor="text1"/>
          <w:u w:val="single"/>
        </w:rPr>
      </w:pPr>
    </w:p>
    <w:p w14:paraId="1591B88B" w14:textId="0CE27ABC" w:rsidR="00BC0338" w:rsidRDefault="2299B095" w:rsidP="0676D472">
      <w:pPr>
        <w:spacing w:after="0"/>
        <w:rPr>
          <w:rFonts w:ascii="Aptos" w:eastAsia="Aptos" w:hAnsi="Aptos" w:cs="Aptos"/>
          <w:color w:val="000000" w:themeColor="text1"/>
        </w:rPr>
      </w:pPr>
      <w:r w:rsidRPr="0676D472">
        <w:rPr>
          <w:rFonts w:ascii="Aptos" w:eastAsia="Aptos" w:hAnsi="Aptos" w:cs="Aptos"/>
          <w:color w:val="000000" w:themeColor="text1"/>
          <w:u w:val="single"/>
        </w:rPr>
        <w:lastRenderedPageBreak/>
        <w:t>Response Guide:</w:t>
      </w:r>
    </w:p>
    <w:p w14:paraId="22F2CDFC" w14:textId="5DFF41A8" w:rsidR="00BC0338" w:rsidRDefault="00BC0338" w:rsidP="0676D472">
      <w:pPr>
        <w:spacing w:after="0"/>
        <w:rPr>
          <w:rFonts w:ascii="Aptos" w:eastAsia="Aptos" w:hAnsi="Aptos" w:cs="Aptos"/>
          <w:color w:val="000000" w:themeColor="text1"/>
        </w:rPr>
      </w:pPr>
    </w:p>
    <w:p w14:paraId="59845D68" w14:textId="6F69B9E9"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Name: </w:t>
      </w:r>
      <w:r w:rsidRPr="0676D472">
        <w:rPr>
          <w:rFonts w:ascii="Aptos" w:eastAsia="Aptos" w:hAnsi="Aptos" w:cs="Aptos"/>
          <w:color w:val="000000" w:themeColor="text1"/>
          <w:highlight w:val="yellow"/>
        </w:rPr>
        <w:t>[XXXXXX]</w:t>
      </w:r>
    </w:p>
    <w:p w14:paraId="3EFC7933" w14:textId="140C2B0E"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Email (if you agree to be contacted about your responses): </w:t>
      </w:r>
      <w:r w:rsidRPr="0676D472">
        <w:rPr>
          <w:rFonts w:ascii="Aptos" w:eastAsia="Aptos" w:hAnsi="Aptos" w:cs="Aptos"/>
          <w:color w:val="000000" w:themeColor="text1"/>
          <w:highlight w:val="yellow"/>
        </w:rPr>
        <w:t>[XXXXXX]</w:t>
      </w:r>
    </w:p>
    <w:p w14:paraId="6C7263C2" w14:textId="0E2CE00B"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Capacity (business, trade representative, other organisation, individual): </w:t>
      </w:r>
      <w:r w:rsidRPr="0676D472">
        <w:rPr>
          <w:rFonts w:ascii="Aptos" w:eastAsia="Aptos" w:hAnsi="Aptos" w:cs="Aptos"/>
          <w:color w:val="000000" w:themeColor="text1"/>
          <w:highlight w:val="yellow"/>
        </w:rPr>
        <w:t>Business</w:t>
      </w:r>
    </w:p>
    <w:p w14:paraId="2532EC6E" w14:textId="6889FD51"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Representative body: N</w:t>
      </w:r>
      <w:r w:rsidR="6C365CF5" w:rsidRPr="0676D472">
        <w:rPr>
          <w:rFonts w:ascii="Aptos" w:eastAsia="Aptos" w:hAnsi="Aptos" w:cs="Aptos"/>
          <w:color w:val="000000" w:themeColor="text1"/>
        </w:rPr>
        <w:t>/</w:t>
      </w:r>
      <w:r w:rsidRPr="0676D472">
        <w:rPr>
          <w:rFonts w:ascii="Aptos" w:eastAsia="Aptos" w:hAnsi="Aptos" w:cs="Aptos"/>
          <w:color w:val="000000" w:themeColor="text1"/>
        </w:rPr>
        <w:t>A</w:t>
      </w:r>
    </w:p>
    <w:p w14:paraId="6BD9AE4E" w14:textId="51944584"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Size of business (if applicable): Turnover </w:t>
      </w:r>
      <w:r w:rsidRPr="0676D472">
        <w:rPr>
          <w:rFonts w:ascii="Aptos" w:eastAsia="Aptos" w:hAnsi="Aptos" w:cs="Aptos"/>
          <w:color w:val="000000" w:themeColor="text1"/>
          <w:highlight w:val="yellow"/>
        </w:rPr>
        <w:t>[XXXXXX]</w:t>
      </w:r>
      <w:r w:rsidRPr="0676D472">
        <w:rPr>
          <w:rFonts w:ascii="Aptos" w:eastAsia="Aptos" w:hAnsi="Aptos" w:cs="Aptos"/>
          <w:color w:val="000000" w:themeColor="text1"/>
        </w:rPr>
        <w:t xml:space="preserve"> Employment </w:t>
      </w:r>
      <w:r w:rsidRPr="0676D472">
        <w:rPr>
          <w:rFonts w:ascii="Aptos" w:eastAsia="Aptos" w:hAnsi="Aptos" w:cs="Aptos"/>
          <w:color w:val="000000" w:themeColor="text1"/>
          <w:highlight w:val="yellow"/>
        </w:rPr>
        <w:t>[XXXXXX]</w:t>
      </w:r>
    </w:p>
    <w:p w14:paraId="65C27567" w14:textId="6B0B2FC0"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Name of business/organisation/representative body: </w:t>
      </w:r>
      <w:r w:rsidRPr="0676D472">
        <w:rPr>
          <w:rFonts w:ascii="Aptos" w:eastAsia="Aptos" w:hAnsi="Aptos" w:cs="Aptos"/>
          <w:color w:val="000000" w:themeColor="text1"/>
          <w:highlight w:val="yellow"/>
        </w:rPr>
        <w:t>[XXXXXX]</w:t>
      </w:r>
    </w:p>
    <w:p w14:paraId="00F0BAA4" w14:textId="0E468A01"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Region: </w:t>
      </w:r>
      <w:r w:rsidRPr="0676D472">
        <w:rPr>
          <w:rFonts w:ascii="Aptos" w:eastAsia="Aptos" w:hAnsi="Aptos" w:cs="Aptos"/>
          <w:color w:val="000000" w:themeColor="text1"/>
          <w:highlight w:val="yellow"/>
        </w:rPr>
        <w:t>[XXXXXX]</w:t>
      </w:r>
    </w:p>
    <w:p w14:paraId="61BDA7EF" w14:textId="0756A8E6" w:rsidR="00DC52A8" w:rsidRPr="00E05E93" w:rsidRDefault="1E967A03" w:rsidP="00E05E93">
      <w:pPr>
        <w:pStyle w:val="ListParagraph"/>
        <w:numPr>
          <w:ilvl w:val="0"/>
          <w:numId w:val="15"/>
        </w:numPr>
        <w:spacing w:after="0"/>
        <w:rPr>
          <w:rFonts w:ascii="Aptos" w:eastAsia="Aptos" w:hAnsi="Aptos" w:cs="Aptos"/>
          <w:color w:val="000000" w:themeColor="text1"/>
        </w:rPr>
      </w:pPr>
      <w:r w:rsidRPr="582284F0">
        <w:rPr>
          <w:rFonts w:ascii="Aptos" w:eastAsia="Aptos" w:hAnsi="Aptos" w:cs="Aptos"/>
          <w:color w:val="000000" w:themeColor="text1"/>
        </w:rPr>
        <w:t xml:space="preserve">Sector: </w:t>
      </w:r>
      <w:r w:rsidRPr="582284F0">
        <w:rPr>
          <w:rFonts w:ascii="Aptos" w:eastAsia="Aptos" w:hAnsi="Aptos" w:cs="Aptos"/>
          <w:color w:val="000000" w:themeColor="text1"/>
          <w:highlight w:val="yellow"/>
        </w:rPr>
        <w:t>Roofing/Cladding</w:t>
      </w:r>
      <w:r w:rsidRPr="582284F0">
        <w:rPr>
          <w:rFonts w:ascii="Aptos" w:eastAsia="Aptos" w:hAnsi="Aptos" w:cs="Aptos"/>
          <w:color w:val="000000" w:themeColor="text1"/>
        </w:rPr>
        <w:t xml:space="preserve"> Services across construction, FM and maintenance.</w:t>
      </w:r>
    </w:p>
    <w:tbl>
      <w:tblPr>
        <w:tblStyle w:val="TableGrid"/>
        <w:tblW w:w="9067" w:type="dxa"/>
        <w:tblLayout w:type="fixed"/>
        <w:tblLook w:val="06A0" w:firstRow="1" w:lastRow="0" w:firstColumn="1" w:lastColumn="0" w:noHBand="1" w:noVBand="1"/>
      </w:tblPr>
      <w:tblGrid>
        <w:gridCol w:w="4508"/>
        <w:gridCol w:w="4559"/>
      </w:tblGrid>
      <w:tr w:rsidR="00DC52A8" w14:paraId="442FDDB3" w14:textId="77777777" w:rsidTr="00D53A41">
        <w:trPr>
          <w:trHeight w:val="300"/>
        </w:trPr>
        <w:tc>
          <w:tcPr>
            <w:tcW w:w="4508" w:type="dxa"/>
            <w:shd w:val="clear" w:color="auto" w:fill="D9D9D9" w:themeFill="background1" w:themeFillShade="D9"/>
          </w:tcPr>
          <w:p w14:paraId="43E072D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Question</w:t>
            </w:r>
          </w:p>
        </w:tc>
        <w:tc>
          <w:tcPr>
            <w:tcW w:w="4559" w:type="dxa"/>
            <w:shd w:val="clear" w:color="auto" w:fill="D9D9D9" w:themeFill="background1" w:themeFillShade="D9"/>
          </w:tcPr>
          <w:p w14:paraId="14A2CA1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241C2280" w14:textId="77777777" w:rsidTr="00D53A41">
        <w:trPr>
          <w:trHeight w:val="300"/>
        </w:trPr>
        <w:tc>
          <w:tcPr>
            <w:tcW w:w="4508" w:type="dxa"/>
          </w:tcPr>
          <w:p w14:paraId="16E4B6F6" w14:textId="20581068" w:rsidR="6F581C32" w:rsidRDefault="6F581C32" w:rsidP="582284F0">
            <w:pPr>
              <w:rPr>
                <w:rFonts w:ascii="Aptos" w:eastAsia="Aptos" w:hAnsi="Aptos" w:cs="Aptos"/>
                <w:color w:val="000000" w:themeColor="text1"/>
              </w:rPr>
            </w:pPr>
            <w:r w:rsidRPr="582284F0">
              <w:rPr>
                <w:rFonts w:ascii="Aptos" w:eastAsia="Aptos" w:hAnsi="Aptos" w:cs="Aptos"/>
                <w:color w:val="FF0000"/>
              </w:rPr>
              <w:t>17a</w:t>
            </w:r>
            <w:r w:rsidRPr="582284F0">
              <w:rPr>
                <w:rFonts w:ascii="Aptos" w:eastAsia="Aptos" w:hAnsi="Aptos" w:cs="Aptos"/>
                <w:color w:val="000000" w:themeColor="text1"/>
              </w:rPr>
              <w:t xml:space="preserve"> To what extent do you agree that prohibiting the use of retention clauses in construction contracts would be effective in addressing the stated problems associated with retention?</w:t>
            </w:r>
          </w:p>
        </w:tc>
        <w:tc>
          <w:tcPr>
            <w:tcW w:w="4559" w:type="dxa"/>
          </w:tcPr>
          <w:p w14:paraId="7B283933" w14:textId="5934FB0E"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5974E3BF" w14:textId="77777777" w:rsidTr="00D53A41">
        <w:trPr>
          <w:trHeight w:val="300"/>
        </w:trPr>
        <w:tc>
          <w:tcPr>
            <w:tcW w:w="4508" w:type="dxa"/>
          </w:tcPr>
          <w:p w14:paraId="21256A49" w14:textId="28EFEE8D"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17b </w:t>
            </w:r>
            <w:r w:rsidRPr="582284F0">
              <w:rPr>
                <w:rFonts w:ascii="Aptos" w:eastAsia="Aptos" w:hAnsi="Aptos" w:cs="Aptos"/>
                <w:color w:val="000000" w:themeColor="text1"/>
              </w:rPr>
              <w:t>Please explain the reasons for your answer to question 17a.</w:t>
            </w:r>
          </w:p>
        </w:tc>
        <w:tc>
          <w:tcPr>
            <w:tcW w:w="4559" w:type="dxa"/>
          </w:tcPr>
          <w:p w14:paraId="36EECE5D" w14:textId="77F748D2"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Banning abusive retention clauses is essential to unlocking growth for roofing businesses and the wider construction sector. Currently, payees must fight to prove payment is due, while payers hold the money, earn interest, and often delay or deny release. Many firms give up chasing retentions, losing time, money, and wellbeing.</w:t>
            </w:r>
          </w:p>
          <w:p w14:paraId="4B49CEAC" w14:textId="66F3DB1E"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Retentions risk being lost entirely if a company collapses, as seen with Carillion and ISG. In 2017, a government report estimated that around £6 billion is tied up in retentions, with over £229 million lost to insolvency each year, and these figures will only have grown. This is a key factor keeping construction one of the UK’s most insolvent sectors. </w:t>
            </w:r>
          </w:p>
          <w:p w14:paraId="6F7BEDFE" w14:textId="48F79C8E"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Legislation to ban retentions must be airtight to prevent alternative methods of delaying payments arising. An explicit statutory ban on retention clauses, alongside an appropriately broad definition of retention and an anti-avoidance clause, would go a long way to ensuring that companies can only revert to using alternative, fair forms of insurance or surety when required.   </w:t>
            </w:r>
          </w:p>
          <w:p w14:paraId="18B2F571" w14:textId="4C03AE0C"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Prohibiting the use of retention clauses would unlock productivity within the SME construction space and help the government meet its goals.</w:t>
            </w:r>
          </w:p>
        </w:tc>
      </w:tr>
      <w:tr w:rsidR="00DC52A8" w14:paraId="01675336" w14:textId="77777777" w:rsidTr="00D53A41">
        <w:trPr>
          <w:trHeight w:val="300"/>
        </w:trPr>
        <w:tc>
          <w:tcPr>
            <w:tcW w:w="4508" w:type="dxa"/>
            <w:shd w:val="clear" w:color="auto" w:fill="D9D9D9" w:themeFill="background1" w:themeFillShade="D9"/>
          </w:tcPr>
          <w:p w14:paraId="7B58F3D7" w14:textId="229EDBF4"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59" w:type="dxa"/>
            <w:shd w:val="clear" w:color="auto" w:fill="D9D9D9" w:themeFill="background1" w:themeFillShade="D9"/>
          </w:tcPr>
          <w:p w14:paraId="1E8F7AD0"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69D4E25C" w14:textId="77777777" w:rsidTr="00D53A41">
        <w:trPr>
          <w:trHeight w:val="300"/>
        </w:trPr>
        <w:tc>
          <w:tcPr>
            <w:tcW w:w="4508" w:type="dxa"/>
          </w:tcPr>
          <w:p w14:paraId="43E6A8BC" w14:textId="4AB3D2F5"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18 </w:t>
            </w:r>
            <w:r w:rsidRPr="582284F0">
              <w:rPr>
                <w:rFonts w:ascii="Aptos" w:eastAsia="Aptos" w:hAnsi="Aptos" w:cs="Aptos"/>
                <w:color w:val="000000" w:themeColor="text1"/>
              </w:rPr>
              <w:t>Under a prohibition on the use of retention clauses in construction contracts, what alternative measures would a payer seek to ensure performance and quality from a supplier? Please explain the reasons for your answer.</w:t>
            </w:r>
          </w:p>
        </w:tc>
        <w:tc>
          <w:tcPr>
            <w:tcW w:w="4559" w:type="dxa"/>
          </w:tcPr>
          <w:p w14:paraId="4227B064" w14:textId="6FE98DD9"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Ensuring quality is essential, but retentions are no longer fit for this purpose, and superior alternatives are already in widespread use throughout my industry and have been for a long time. Manufacturer and workmanship-backed guarantees outperform retentions in protecting clients, with defect liability periods commonly ranging from 5-30 years, far exceeding the standard two-year defect liability period of retention clauses. Additionally, robust accreditation and investment in operative training, which is often restricted by cash flow issues caused by unjustly withheld retentions, go much further towards preventing defects in the first place. Legislative reform could strengthen defect liability remedies other than retentions by mandating that construction contracts explicitly include a defects rectification clause.  </w:t>
            </w:r>
          </w:p>
          <w:p w14:paraId="1660ABBB" w14:textId="58B70682"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There must also be an increased focus on strong pre-qualification and supply chain management, strategic pipeline/framework/dynamic purchasing relationships and early supply chain involvement. If businesses are financially robust, a good specification is in place, good quality control exists, adequate other protections such as workmanship guarantees are in place and the approach is collaborative, there is no need for cash retention. For too long, cash retention has driven a lowest price approach and, over the long term, driven sub-optimal margins and compromised the quality of the UK’s built environment.</w:t>
            </w:r>
          </w:p>
          <w:p w14:paraId="4526B409" w14:textId="442E9707"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Moreover, the Security of Payment regime remains available, meaning that if a client finds defects, they can still issue a Pay Less Notice for the value of defects before the final payment. What must be banned is the blanket pre-emptive withholding that inherently occurs with retention clauses.</w:t>
            </w:r>
          </w:p>
        </w:tc>
      </w:tr>
    </w:tbl>
    <w:p w14:paraId="72ECA50C" w14:textId="77777777" w:rsidR="00DC52A8" w:rsidRDefault="00DC52A8">
      <w:r>
        <w:br w:type="page"/>
      </w:r>
    </w:p>
    <w:tbl>
      <w:tblPr>
        <w:tblStyle w:val="TableGrid"/>
        <w:tblW w:w="9067" w:type="dxa"/>
        <w:tblLayout w:type="fixed"/>
        <w:tblLook w:val="06A0" w:firstRow="1" w:lastRow="0" w:firstColumn="1" w:lastColumn="0" w:noHBand="1" w:noVBand="1"/>
      </w:tblPr>
      <w:tblGrid>
        <w:gridCol w:w="4508"/>
        <w:gridCol w:w="4559"/>
      </w:tblGrid>
      <w:tr w:rsidR="00DC52A8" w14:paraId="210E0BE3" w14:textId="77777777" w:rsidTr="00D53A41">
        <w:trPr>
          <w:trHeight w:val="300"/>
        </w:trPr>
        <w:tc>
          <w:tcPr>
            <w:tcW w:w="4508" w:type="dxa"/>
            <w:shd w:val="clear" w:color="auto" w:fill="D9D9D9" w:themeFill="background1" w:themeFillShade="D9"/>
          </w:tcPr>
          <w:p w14:paraId="7B84C25B"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59" w:type="dxa"/>
            <w:shd w:val="clear" w:color="auto" w:fill="D9D9D9" w:themeFill="background1" w:themeFillShade="D9"/>
          </w:tcPr>
          <w:p w14:paraId="2F2106C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435F1D3B" w14:textId="77777777" w:rsidTr="007A3FE9">
        <w:trPr>
          <w:trHeight w:val="300"/>
        </w:trPr>
        <w:tc>
          <w:tcPr>
            <w:tcW w:w="4508" w:type="dxa"/>
          </w:tcPr>
          <w:p w14:paraId="7683B54F" w14:textId="414C60B0"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19 </w:t>
            </w:r>
            <w:r w:rsidRPr="582284F0">
              <w:rPr>
                <w:rFonts w:ascii="Aptos" w:eastAsia="Aptos" w:hAnsi="Aptos" w:cs="Aptos"/>
                <w:color w:val="000000" w:themeColor="text1"/>
              </w:rPr>
              <w:t xml:space="preserve">What length of transitional period would be required for a payer to adjust to the ban measure? Please explain the reasons for your answer. </w:t>
            </w:r>
          </w:p>
          <w:p w14:paraId="0006106C" w14:textId="3EBF48FE" w:rsidR="582284F0" w:rsidRDefault="582284F0" w:rsidP="582284F0">
            <w:pPr>
              <w:ind w:left="720"/>
              <w:rPr>
                <w:rFonts w:ascii="Aptos" w:eastAsia="Aptos" w:hAnsi="Aptos" w:cs="Aptos"/>
                <w:color w:val="000000" w:themeColor="text1"/>
              </w:rPr>
            </w:pPr>
          </w:p>
          <w:p w14:paraId="495B2EDF" w14:textId="40024806" w:rsidR="582284F0" w:rsidRDefault="582284F0" w:rsidP="582284F0">
            <w:pPr>
              <w:rPr>
                <w:rFonts w:ascii="Aptos" w:eastAsia="Aptos" w:hAnsi="Aptos" w:cs="Aptos"/>
                <w:color w:val="FF0000"/>
              </w:rPr>
            </w:pPr>
          </w:p>
        </w:tc>
        <w:tc>
          <w:tcPr>
            <w:tcW w:w="4559" w:type="dxa"/>
          </w:tcPr>
          <w:p w14:paraId="3D81A8A8" w14:textId="3FB1266A"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With projects averaging 18 months, no more than 24 months should be required to allow industry to transition and ensure business models can cope. </w:t>
            </w:r>
          </w:p>
        </w:tc>
      </w:tr>
      <w:tr w:rsidR="582284F0" w14:paraId="1671C0EE" w14:textId="77777777" w:rsidTr="00D53A41">
        <w:trPr>
          <w:trHeight w:val="300"/>
        </w:trPr>
        <w:tc>
          <w:tcPr>
            <w:tcW w:w="4508" w:type="dxa"/>
          </w:tcPr>
          <w:p w14:paraId="6B7ED527" w14:textId="3D941872"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20 </w:t>
            </w:r>
            <w:r w:rsidRPr="582284F0">
              <w:rPr>
                <w:rFonts w:ascii="Aptos" w:eastAsia="Aptos" w:hAnsi="Aptos" w:cs="Aptos"/>
                <w:color w:val="000000" w:themeColor="text1"/>
              </w:rPr>
              <w:t>Please provide an estimate and an explanation of any costs firms would incur as the result of prohibiting the use of retention clauses in construction contracts.</w:t>
            </w:r>
          </w:p>
        </w:tc>
        <w:tc>
          <w:tcPr>
            <w:tcW w:w="4559" w:type="dxa"/>
          </w:tcPr>
          <w:p w14:paraId="3C88AAC9" w14:textId="746AECC8"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Some payers may see decreases in their profits in the short term, but this should not be considered a loss, as such profits were often gained at the expense of the wider construction industry. </w:t>
            </w:r>
          </w:p>
          <w:p w14:paraId="4639C5D3" w14:textId="3209BD5F"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Accounting for this will require some businesses to adjust their business model so that it does not rely on retention funds as freely available working capital to finance their own operations. </w:t>
            </w:r>
          </w:p>
          <w:p w14:paraId="66ACE98A" w14:textId="1FB6AF72"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Any purported losses in productivity at the top by these large firms would be more than compensated by payee cost savings and productivity gains as SME businesses would no longer incur the significant overheads and costs of chasing retentions.</w:t>
            </w:r>
          </w:p>
        </w:tc>
      </w:tr>
    </w:tbl>
    <w:p w14:paraId="187662F4"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78D05296" w14:textId="77777777" w:rsidTr="009E54B9">
        <w:trPr>
          <w:trHeight w:val="300"/>
        </w:trPr>
        <w:tc>
          <w:tcPr>
            <w:tcW w:w="4508" w:type="dxa"/>
            <w:shd w:val="clear" w:color="auto" w:fill="D9D9D9" w:themeFill="background1" w:themeFillShade="D9"/>
          </w:tcPr>
          <w:p w14:paraId="10BEE4DD"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065EAAEF"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54D12295" w14:textId="77777777" w:rsidTr="582284F0">
        <w:trPr>
          <w:trHeight w:val="300"/>
        </w:trPr>
        <w:tc>
          <w:tcPr>
            <w:tcW w:w="4508" w:type="dxa"/>
          </w:tcPr>
          <w:p w14:paraId="617A2496" w14:textId="041DCA06" w:rsidR="6F581C32" w:rsidRDefault="6F581C32" w:rsidP="582284F0">
            <w:pPr>
              <w:rPr>
                <w:rFonts w:ascii="Aptos" w:eastAsia="Aptos" w:hAnsi="Aptos" w:cs="Aptos"/>
                <w:color w:val="000000" w:themeColor="text1"/>
              </w:rPr>
            </w:pPr>
            <w:r w:rsidRPr="582284F0">
              <w:rPr>
                <w:rFonts w:ascii="Aptos" w:eastAsia="Aptos" w:hAnsi="Aptos" w:cs="Aptos"/>
                <w:color w:val="FF0000"/>
              </w:rPr>
              <w:t>21a</w:t>
            </w:r>
            <w:r w:rsidRPr="582284F0">
              <w:rPr>
                <w:rFonts w:ascii="Aptos" w:eastAsia="Aptos" w:hAnsi="Aptos" w:cs="Aptos"/>
                <w:color w:val="000000" w:themeColor="text1"/>
              </w:rPr>
              <w:t xml:space="preserve"> To what extent do you agree that requirements to protect retention sums deducted and withheld under retention clauses in construction contracts would be effective in addressing the stated problems associated with retention?</w:t>
            </w:r>
          </w:p>
          <w:p w14:paraId="713E4DCC" w14:textId="0B6F4782" w:rsidR="582284F0" w:rsidRDefault="582284F0" w:rsidP="582284F0">
            <w:pPr>
              <w:rPr>
                <w:rFonts w:ascii="Aptos" w:eastAsia="Aptos" w:hAnsi="Aptos" w:cs="Aptos"/>
                <w:color w:val="FF0000"/>
              </w:rPr>
            </w:pPr>
          </w:p>
        </w:tc>
        <w:tc>
          <w:tcPr>
            <w:tcW w:w="4508" w:type="dxa"/>
          </w:tcPr>
          <w:p w14:paraId="6152C9E6" w14:textId="72A55A9E"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Disagree</w:t>
            </w:r>
          </w:p>
        </w:tc>
      </w:tr>
      <w:tr w:rsidR="582284F0" w14:paraId="249F88CD" w14:textId="77777777" w:rsidTr="582284F0">
        <w:trPr>
          <w:trHeight w:val="300"/>
        </w:trPr>
        <w:tc>
          <w:tcPr>
            <w:tcW w:w="4508" w:type="dxa"/>
          </w:tcPr>
          <w:p w14:paraId="1E73841A" w14:textId="1851BB32"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21b </w:t>
            </w:r>
            <w:r w:rsidRPr="582284F0">
              <w:rPr>
                <w:rFonts w:ascii="Aptos" w:eastAsia="Aptos" w:hAnsi="Aptos" w:cs="Aptos"/>
                <w:color w:val="000000" w:themeColor="text1"/>
              </w:rPr>
              <w:t>Please explain the reasons for your answer to question 21a.</w:t>
            </w:r>
          </w:p>
          <w:p w14:paraId="5E19079D" w14:textId="2FDCCAF4" w:rsidR="582284F0" w:rsidRDefault="582284F0" w:rsidP="582284F0">
            <w:pPr>
              <w:rPr>
                <w:rFonts w:ascii="Aptos" w:eastAsia="Aptos" w:hAnsi="Aptos" w:cs="Aptos"/>
                <w:color w:val="FF0000"/>
              </w:rPr>
            </w:pPr>
          </w:p>
        </w:tc>
        <w:tc>
          <w:tcPr>
            <w:tcW w:w="4508" w:type="dxa"/>
          </w:tcPr>
          <w:p w14:paraId="01D27C7E" w14:textId="5C07F535"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In roofing and cladding, there are far more effective ways to protect against supplier insolvency and defective work than cash retentions. Workmanship guarantees and manufacturer warranties, backed by insurance backed-guarantees in the event of contractor insolvency, are already widely used by accredited, reputable firms. These protections exceed the standard two-year defect liability period linked to retentions and offer clients far greater assurance. If contracts were awarded only to businesses meeting these standards, such protections would apply across all roofing and cladding works. While measures such as project bank accounts or other forms of surety might mitigate some of the risks associated with retentions, the practice would continue to restrict cash flow and undermine the ability of businesses to grow at the pace needed to meet government housing, retrofit, and infrastructure targets.</w:t>
            </w:r>
          </w:p>
        </w:tc>
      </w:tr>
    </w:tbl>
    <w:p w14:paraId="01E68DC7" w14:textId="335ED9CA" w:rsidR="00DC52A8" w:rsidRDefault="00DC52A8" w:rsidP="582284F0">
      <w:pPr>
        <w:spacing w:after="0"/>
        <w:rPr>
          <w:rFonts w:ascii="Aptos" w:eastAsia="Aptos" w:hAnsi="Aptos" w:cs="Aptos"/>
          <w:color w:val="FF0000"/>
        </w:rPr>
      </w:pPr>
    </w:p>
    <w:p w14:paraId="52605ABA" w14:textId="77777777" w:rsidR="00DC52A8" w:rsidRDefault="00DC52A8">
      <w:pPr>
        <w:rPr>
          <w:rFonts w:ascii="Aptos" w:eastAsia="Aptos" w:hAnsi="Aptos" w:cs="Aptos"/>
          <w:color w:val="FF0000"/>
        </w:rPr>
      </w:pPr>
      <w:r>
        <w:rPr>
          <w:rFonts w:ascii="Aptos" w:eastAsia="Aptos" w:hAnsi="Aptos" w:cs="Aptos"/>
          <w:color w:val="FF0000"/>
        </w:rPr>
        <w:br w:type="page"/>
      </w:r>
    </w:p>
    <w:tbl>
      <w:tblPr>
        <w:tblStyle w:val="TableGrid"/>
        <w:tblW w:w="0" w:type="auto"/>
        <w:tblLayout w:type="fixed"/>
        <w:tblLook w:val="06A0" w:firstRow="1" w:lastRow="0" w:firstColumn="1" w:lastColumn="0" w:noHBand="1" w:noVBand="1"/>
      </w:tblPr>
      <w:tblGrid>
        <w:gridCol w:w="4508"/>
        <w:gridCol w:w="4508"/>
      </w:tblGrid>
      <w:tr w:rsidR="00DC52A8" w14:paraId="31AFD94B" w14:textId="77777777" w:rsidTr="009E54B9">
        <w:trPr>
          <w:trHeight w:val="300"/>
        </w:trPr>
        <w:tc>
          <w:tcPr>
            <w:tcW w:w="4508" w:type="dxa"/>
            <w:shd w:val="clear" w:color="auto" w:fill="D9D9D9" w:themeFill="background1" w:themeFillShade="D9"/>
          </w:tcPr>
          <w:p w14:paraId="55857D3E"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7D228E0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0B8F0668" w14:textId="77777777" w:rsidTr="582284F0">
        <w:trPr>
          <w:trHeight w:val="300"/>
        </w:trPr>
        <w:tc>
          <w:tcPr>
            <w:tcW w:w="4508" w:type="dxa"/>
          </w:tcPr>
          <w:p w14:paraId="59E2DE45" w14:textId="19DC407D" w:rsidR="6F581C32" w:rsidRDefault="6F581C32" w:rsidP="582284F0">
            <w:pPr>
              <w:rPr>
                <w:rFonts w:ascii="Aptos" w:eastAsia="Aptos" w:hAnsi="Aptos" w:cs="Aptos"/>
                <w:color w:val="000000" w:themeColor="text1"/>
              </w:rPr>
            </w:pPr>
            <w:r w:rsidRPr="582284F0">
              <w:rPr>
                <w:rFonts w:ascii="Aptos" w:eastAsia="Aptos" w:hAnsi="Aptos" w:cs="Aptos"/>
                <w:color w:val="FF0000"/>
              </w:rPr>
              <w:t>22a</w:t>
            </w:r>
            <w:r w:rsidRPr="582284F0">
              <w:rPr>
                <w:rFonts w:ascii="Aptos" w:eastAsia="Aptos" w:hAnsi="Aptos" w:cs="Aptos"/>
                <w:color w:val="000000" w:themeColor="text1"/>
              </w:rPr>
              <w:t xml:space="preserve"> What would be the preferred mechanism of a payer to protect the retention sums?</w:t>
            </w:r>
          </w:p>
          <w:p w14:paraId="5FAF61C7" w14:textId="5232447F" w:rsidR="582284F0" w:rsidRDefault="582284F0" w:rsidP="582284F0">
            <w:pPr>
              <w:rPr>
                <w:rFonts w:ascii="Aptos" w:eastAsia="Aptos" w:hAnsi="Aptos" w:cs="Aptos"/>
                <w:color w:val="FF0000"/>
              </w:rPr>
            </w:pPr>
          </w:p>
        </w:tc>
        <w:tc>
          <w:tcPr>
            <w:tcW w:w="4508" w:type="dxa"/>
          </w:tcPr>
          <w:p w14:paraId="34E38356" w14:textId="0580A801"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Workmanship guarantees, manufacturer warranties, and insurance-backed guarantees provide stronger protection for both clients and contractors than retentions, even when those retentions are secured.</w:t>
            </w:r>
          </w:p>
        </w:tc>
      </w:tr>
      <w:tr w:rsidR="582284F0" w14:paraId="65EB6AD5" w14:textId="77777777" w:rsidTr="582284F0">
        <w:trPr>
          <w:trHeight w:val="300"/>
        </w:trPr>
        <w:tc>
          <w:tcPr>
            <w:tcW w:w="4508" w:type="dxa"/>
          </w:tcPr>
          <w:p w14:paraId="3ECF3396" w14:textId="46580BB9"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22b </w:t>
            </w:r>
            <w:r w:rsidRPr="582284F0">
              <w:rPr>
                <w:rFonts w:ascii="Aptos" w:eastAsia="Aptos" w:hAnsi="Aptos" w:cs="Aptos"/>
                <w:color w:val="000000" w:themeColor="text1"/>
              </w:rPr>
              <w:t>Please explain the reasons for your answer to question 22a.</w:t>
            </w:r>
          </w:p>
          <w:p w14:paraId="4EE6367A" w14:textId="1493A750" w:rsidR="582284F0" w:rsidRDefault="582284F0" w:rsidP="582284F0">
            <w:pPr>
              <w:rPr>
                <w:rFonts w:ascii="Aptos" w:eastAsia="Aptos" w:hAnsi="Aptos" w:cs="Aptos"/>
                <w:color w:val="FF0000"/>
              </w:rPr>
            </w:pPr>
          </w:p>
        </w:tc>
        <w:tc>
          <w:tcPr>
            <w:tcW w:w="4508" w:type="dxa"/>
          </w:tcPr>
          <w:p w14:paraId="32625882" w14:textId="634172D4"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The roofing and cladding industry already has sufficient protections in place to ensure the quality of works and the protection of clients, as outlined previously.</w:t>
            </w:r>
          </w:p>
        </w:tc>
      </w:tr>
      <w:tr w:rsidR="582284F0" w14:paraId="59FDED6F" w14:textId="77777777" w:rsidTr="582284F0">
        <w:trPr>
          <w:trHeight w:val="300"/>
        </w:trPr>
        <w:tc>
          <w:tcPr>
            <w:tcW w:w="4508" w:type="dxa"/>
          </w:tcPr>
          <w:p w14:paraId="62E1AD8A" w14:textId="0B311787" w:rsidR="6F581C32" w:rsidRDefault="6F581C32" w:rsidP="582284F0">
            <w:pPr>
              <w:rPr>
                <w:rFonts w:ascii="Aptos" w:eastAsia="Aptos" w:hAnsi="Aptos" w:cs="Aptos"/>
                <w:color w:val="000000" w:themeColor="text1"/>
              </w:rPr>
            </w:pPr>
            <w:r w:rsidRPr="582284F0">
              <w:rPr>
                <w:rFonts w:ascii="Aptos" w:eastAsia="Aptos" w:hAnsi="Aptos" w:cs="Aptos"/>
                <w:color w:val="FF0000"/>
              </w:rPr>
              <w:t>23</w:t>
            </w:r>
            <w:r w:rsidRPr="582284F0">
              <w:rPr>
                <w:rFonts w:ascii="Aptos" w:eastAsia="Aptos" w:hAnsi="Aptos" w:cs="Aptos"/>
                <w:color w:val="000000" w:themeColor="text1"/>
              </w:rPr>
              <w:t xml:space="preserve"> What length of transitional period would be required for a payer to adjust to the retention protection measure? Please explain the reasons for your answer.</w:t>
            </w:r>
          </w:p>
          <w:p w14:paraId="35508594" w14:textId="472A8D4F" w:rsidR="582284F0" w:rsidRDefault="582284F0" w:rsidP="582284F0">
            <w:pPr>
              <w:rPr>
                <w:rFonts w:ascii="Aptos" w:eastAsia="Aptos" w:hAnsi="Aptos" w:cs="Aptos"/>
                <w:color w:val="FF0000"/>
              </w:rPr>
            </w:pPr>
          </w:p>
        </w:tc>
        <w:tc>
          <w:tcPr>
            <w:tcW w:w="4508" w:type="dxa"/>
          </w:tcPr>
          <w:p w14:paraId="57941EA1" w14:textId="3E576B62"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With projects averaging 18 months, no more than 24 months should be required to allow industry to transition and ensure business models can cope. The capabilities of financial technology services are expanding rapidly, which will assist with adaptation. 24 months would also allow for contract bodies to adjust their templates appropriately with due consultation.</w:t>
            </w:r>
          </w:p>
        </w:tc>
      </w:tr>
      <w:tr w:rsidR="582284F0" w14:paraId="28A71BDA" w14:textId="77777777" w:rsidTr="582284F0">
        <w:trPr>
          <w:trHeight w:val="300"/>
        </w:trPr>
        <w:tc>
          <w:tcPr>
            <w:tcW w:w="4508" w:type="dxa"/>
          </w:tcPr>
          <w:p w14:paraId="5672DD40" w14:textId="1C1472DA" w:rsidR="6F581C32" w:rsidRDefault="6F581C32" w:rsidP="582284F0">
            <w:pPr>
              <w:rPr>
                <w:rFonts w:ascii="Aptos" w:eastAsia="Aptos" w:hAnsi="Aptos" w:cs="Aptos"/>
                <w:color w:val="000000" w:themeColor="text1"/>
              </w:rPr>
            </w:pPr>
            <w:r w:rsidRPr="582284F0">
              <w:rPr>
                <w:rFonts w:ascii="Aptos" w:eastAsia="Aptos" w:hAnsi="Aptos" w:cs="Aptos"/>
                <w:color w:val="FF0000"/>
              </w:rPr>
              <w:t>24a</w:t>
            </w:r>
            <w:r w:rsidRPr="582284F0">
              <w:rPr>
                <w:rFonts w:ascii="Aptos" w:eastAsia="Aptos" w:hAnsi="Aptos" w:cs="Aptos"/>
                <w:color w:val="000000" w:themeColor="text1"/>
              </w:rPr>
              <w:t xml:space="preserve"> To what extent do you agree with the proposed features of the retention protection measure?</w:t>
            </w:r>
          </w:p>
        </w:tc>
        <w:tc>
          <w:tcPr>
            <w:tcW w:w="4508" w:type="dxa"/>
          </w:tcPr>
          <w:p w14:paraId="010EA1DD" w14:textId="220C91D0"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Disagree</w:t>
            </w:r>
          </w:p>
        </w:tc>
      </w:tr>
      <w:tr w:rsidR="582284F0" w14:paraId="2609304F" w14:textId="77777777" w:rsidTr="582284F0">
        <w:trPr>
          <w:trHeight w:val="300"/>
        </w:trPr>
        <w:tc>
          <w:tcPr>
            <w:tcW w:w="4508" w:type="dxa"/>
          </w:tcPr>
          <w:p w14:paraId="41F0EF9C" w14:textId="3ED4BFA1"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24b </w:t>
            </w:r>
            <w:r w:rsidRPr="582284F0">
              <w:rPr>
                <w:rFonts w:ascii="Aptos" w:eastAsia="Aptos" w:hAnsi="Aptos" w:cs="Aptos"/>
                <w:color w:val="000000" w:themeColor="text1"/>
              </w:rPr>
              <w:t>Please explain the reasons for your answer to question 24a, including any further features to the design and operation of this retention protection measure that you would recommend.</w:t>
            </w:r>
          </w:p>
        </w:tc>
        <w:tc>
          <w:tcPr>
            <w:tcW w:w="4508" w:type="dxa"/>
          </w:tcPr>
          <w:p w14:paraId="6399412A" w14:textId="11130A61"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Abolition would be a preferable and more effective option than protection.</w:t>
            </w:r>
          </w:p>
          <w:p w14:paraId="1B329F9F" w14:textId="5E377BB1" w:rsidR="582284F0" w:rsidRDefault="582284F0" w:rsidP="582284F0">
            <w:pPr>
              <w:rPr>
                <w:rFonts w:ascii="Aptos" w:eastAsia="Aptos" w:hAnsi="Aptos" w:cs="Aptos"/>
                <w:color w:val="000000" w:themeColor="text1"/>
              </w:rPr>
            </w:pPr>
          </w:p>
        </w:tc>
      </w:tr>
      <w:tr w:rsidR="582284F0" w14:paraId="11B5045E" w14:textId="77777777" w:rsidTr="582284F0">
        <w:trPr>
          <w:trHeight w:val="300"/>
        </w:trPr>
        <w:tc>
          <w:tcPr>
            <w:tcW w:w="4508" w:type="dxa"/>
          </w:tcPr>
          <w:p w14:paraId="073D7C08" w14:textId="5C095AA2"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25 </w:t>
            </w:r>
            <w:r w:rsidRPr="582284F0">
              <w:rPr>
                <w:rFonts w:ascii="Aptos" w:eastAsia="Aptos" w:hAnsi="Aptos" w:cs="Aptos"/>
                <w:color w:val="000000" w:themeColor="text1"/>
              </w:rPr>
              <w:t>Please provide an estimate and an explanation of any costs firms would incur as the result of the introduction of a framework for protecting retention sums.</w:t>
            </w:r>
          </w:p>
        </w:tc>
        <w:tc>
          <w:tcPr>
            <w:tcW w:w="4508" w:type="dxa"/>
          </w:tcPr>
          <w:p w14:paraId="6B07EFF8" w14:textId="2F9F5291"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The fees associated with holding a bond would further erode the already narrow margins of specialist construction firms.</w:t>
            </w:r>
          </w:p>
        </w:tc>
      </w:tr>
      <w:tr w:rsidR="582284F0" w14:paraId="3969E950" w14:textId="77777777" w:rsidTr="582284F0">
        <w:trPr>
          <w:trHeight w:val="300"/>
        </w:trPr>
        <w:tc>
          <w:tcPr>
            <w:tcW w:w="4508" w:type="dxa"/>
          </w:tcPr>
          <w:p w14:paraId="770B6D79" w14:textId="068A87B4"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26 </w:t>
            </w:r>
            <w:r w:rsidRPr="582284F0">
              <w:rPr>
                <w:rFonts w:ascii="Aptos" w:eastAsia="Aptos" w:hAnsi="Aptos" w:cs="Aptos"/>
                <w:color w:val="000000" w:themeColor="text1"/>
              </w:rPr>
              <w:t>Are there any potential unintended consequences or considerations that should be taken into account for the introduction of either proposed measure for the use of retention clauses in construction contracts? Please explain the reasons for your answer.</w:t>
            </w:r>
          </w:p>
        </w:tc>
        <w:tc>
          <w:tcPr>
            <w:tcW w:w="4508" w:type="dxa"/>
          </w:tcPr>
          <w:p w14:paraId="773DE078" w14:textId="06BD2B01"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Protecting retention monies risks diverting funds to lawyers and banks that administer them, at the expense of the struggling businesses least able to bear the cost. The tightly managed abolition of retention clauses, with measures to ensure they do not arise under another name, is the most straightforward way of eliminating this harmful practice from the construction sector.  </w:t>
            </w:r>
          </w:p>
        </w:tc>
      </w:tr>
    </w:tbl>
    <w:p w14:paraId="615DDEFC"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32F66B6B" w14:textId="77777777" w:rsidTr="009E54B9">
        <w:trPr>
          <w:trHeight w:val="300"/>
        </w:trPr>
        <w:tc>
          <w:tcPr>
            <w:tcW w:w="4508" w:type="dxa"/>
            <w:shd w:val="clear" w:color="auto" w:fill="D9D9D9" w:themeFill="background1" w:themeFillShade="D9"/>
          </w:tcPr>
          <w:p w14:paraId="091DEFC0" w14:textId="15BF2793"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5C8344E2"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6B5004EE" w14:textId="77777777" w:rsidTr="582284F0">
        <w:trPr>
          <w:trHeight w:val="300"/>
        </w:trPr>
        <w:tc>
          <w:tcPr>
            <w:tcW w:w="4508" w:type="dxa"/>
          </w:tcPr>
          <w:p w14:paraId="635063BC" w14:textId="35691F89" w:rsidR="582284F0" w:rsidRDefault="582284F0" w:rsidP="582284F0">
            <w:pPr>
              <w:rPr>
                <w:rFonts w:ascii="Aptos" w:eastAsia="Aptos" w:hAnsi="Aptos" w:cs="Aptos"/>
                <w:color w:val="000000" w:themeColor="text1"/>
              </w:rPr>
            </w:pPr>
            <w:r w:rsidRPr="582284F0">
              <w:rPr>
                <w:rFonts w:ascii="Aptos" w:eastAsia="Aptos" w:hAnsi="Aptos" w:cs="Aptos"/>
                <w:color w:val="FF0000"/>
              </w:rPr>
              <w:t xml:space="preserve">27 </w:t>
            </w:r>
            <w:r w:rsidRPr="582284F0">
              <w:rPr>
                <w:rFonts w:ascii="Aptos" w:eastAsia="Aptos" w:hAnsi="Aptos" w:cs="Aptos"/>
                <w:color w:val="000000" w:themeColor="text1"/>
              </w:rPr>
              <w:t>Do you have any further comments on either proposed measure for the use of retention clauses in construction contracts?</w:t>
            </w:r>
          </w:p>
        </w:tc>
        <w:tc>
          <w:tcPr>
            <w:tcW w:w="4508" w:type="dxa"/>
          </w:tcPr>
          <w:p w14:paraId="5FF741E2" w14:textId="67D21009" w:rsidR="582284F0" w:rsidRDefault="582284F0" w:rsidP="582284F0">
            <w:pPr>
              <w:rPr>
                <w:rFonts w:ascii="Aptos" w:eastAsia="Aptos" w:hAnsi="Aptos" w:cs="Aptos"/>
                <w:color w:val="000000" w:themeColor="text1"/>
              </w:rPr>
            </w:pPr>
            <w:r w:rsidRPr="582284F0">
              <w:rPr>
                <w:rFonts w:ascii="Aptos" w:eastAsia="Aptos" w:hAnsi="Aptos" w:cs="Aptos"/>
                <w:color w:val="000000" w:themeColor="text1"/>
              </w:rPr>
              <w:t>Abolition is the more effective option for the industry. Without reform of harmful retention practices, the construction sector’s potential to deliver on the Government’s key priorities of housing, skills, growth, infrastructure, and net-zero will be compromised.</w:t>
            </w:r>
          </w:p>
        </w:tc>
      </w:tr>
      <w:tr w:rsidR="582284F0" w14:paraId="66AD701B" w14:textId="77777777" w:rsidTr="582284F0">
        <w:trPr>
          <w:trHeight w:val="300"/>
        </w:trPr>
        <w:tc>
          <w:tcPr>
            <w:tcW w:w="4508" w:type="dxa"/>
          </w:tcPr>
          <w:p w14:paraId="66CEF414" w14:textId="044BD3A4" w:rsidR="6D7F93B7" w:rsidRDefault="6D7F93B7" w:rsidP="582284F0">
            <w:pPr>
              <w:rPr>
                <w:rFonts w:ascii="Aptos" w:eastAsia="Aptos" w:hAnsi="Aptos" w:cs="Aptos"/>
                <w:color w:val="000000" w:themeColor="text1"/>
              </w:rPr>
            </w:pPr>
            <w:r w:rsidRPr="582284F0">
              <w:rPr>
                <w:rFonts w:ascii="Aptos" w:eastAsia="Aptos" w:hAnsi="Aptos" w:cs="Aptos"/>
                <w:color w:val="FF0000"/>
              </w:rPr>
              <w:t xml:space="preserve">28 </w:t>
            </w:r>
            <w:r w:rsidRPr="582284F0">
              <w:rPr>
                <w:rFonts w:ascii="Aptos" w:eastAsia="Aptos" w:hAnsi="Aptos" w:cs="Aptos"/>
                <w:color w:val="000000" w:themeColor="text1"/>
              </w:rPr>
              <w:t>Do you have any further comments on any elements of the proposals that might aid the consultation process as a whole?</w:t>
            </w:r>
          </w:p>
          <w:p w14:paraId="6A9C8849" w14:textId="15A0B1DA" w:rsidR="582284F0" w:rsidRDefault="582284F0" w:rsidP="582284F0">
            <w:pPr>
              <w:rPr>
                <w:rFonts w:ascii="Aptos" w:eastAsia="Aptos" w:hAnsi="Aptos" w:cs="Aptos"/>
                <w:color w:val="FF0000"/>
              </w:rPr>
            </w:pPr>
          </w:p>
        </w:tc>
        <w:tc>
          <w:tcPr>
            <w:tcW w:w="4508" w:type="dxa"/>
          </w:tcPr>
          <w:p w14:paraId="2D29E1C7" w14:textId="4C1C6B37" w:rsidR="6D7F93B7" w:rsidRDefault="6D7F93B7" w:rsidP="582284F0">
            <w:pPr>
              <w:rPr>
                <w:rFonts w:ascii="Aptos" w:eastAsia="Aptos" w:hAnsi="Aptos" w:cs="Aptos"/>
                <w:color w:val="000000" w:themeColor="text1"/>
              </w:rPr>
            </w:pPr>
            <w:r w:rsidRPr="582284F0">
              <w:rPr>
                <w:rFonts w:ascii="Aptos" w:eastAsia="Aptos" w:hAnsi="Aptos" w:cs="Aptos"/>
                <w:color w:val="000000" w:themeColor="text1"/>
              </w:rPr>
              <w:t>We have been encouraged by the Government’s Small Business Plan, Late Payment Research and consultation, but for Government to enable delivery on its missions, built-environment and net-zero ambitions, we need interventions in the ways this consultation describes. This consultation must lead to real reform, unlike past reviews of retention clauses that failed to materialise despite strong industry support.</w:t>
            </w:r>
          </w:p>
          <w:p w14:paraId="237AD0FC" w14:textId="79418938" w:rsidR="582284F0" w:rsidRDefault="582284F0" w:rsidP="582284F0">
            <w:pPr>
              <w:ind w:left="720"/>
              <w:rPr>
                <w:rFonts w:ascii="Aptos" w:eastAsia="Aptos" w:hAnsi="Aptos" w:cs="Aptos"/>
                <w:color w:val="000000" w:themeColor="text1"/>
              </w:rPr>
            </w:pPr>
          </w:p>
          <w:p w14:paraId="0D76D0CA" w14:textId="7683CF6B" w:rsidR="582284F0" w:rsidRDefault="582284F0" w:rsidP="582284F0">
            <w:pPr>
              <w:rPr>
                <w:rFonts w:ascii="Aptos" w:eastAsia="Aptos" w:hAnsi="Aptos" w:cs="Aptos"/>
                <w:color w:val="000000" w:themeColor="text1"/>
              </w:rPr>
            </w:pPr>
          </w:p>
        </w:tc>
      </w:tr>
    </w:tbl>
    <w:p w14:paraId="61C66404" w14:textId="6BEBFBEF" w:rsidR="582284F0" w:rsidRDefault="582284F0" w:rsidP="582284F0">
      <w:pPr>
        <w:spacing w:after="0"/>
        <w:rPr>
          <w:rFonts w:ascii="Aptos" w:eastAsia="Aptos" w:hAnsi="Aptos" w:cs="Aptos"/>
          <w:color w:val="FF0000"/>
        </w:rPr>
      </w:pPr>
    </w:p>
    <w:p w14:paraId="45188719" w14:textId="099DA3C0" w:rsidR="582284F0" w:rsidRDefault="582284F0" w:rsidP="582284F0">
      <w:pPr>
        <w:spacing w:after="0"/>
        <w:rPr>
          <w:rFonts w:ascii="Aptos" w:eastAsia="Aptos" w:hAnsi="Aptos" w:cs="Aptos"/>
          <w:color w:val="FF0000"/>
        </w:rPr>
      </w:pPr>
    </w:p>
    <w:p w14:paraId="5E5787A5" w14:textId="1B68AA7D" w:rsidR="00BC0338" w:rsidRDefault="00BC0338" w:rsidP="582284F0">
      <w:pPr>
        <w:spacing w:after="0"/>
        <w:ind w:left="720"/>
        <w:rPr>
          <w:rFonts w:ascii="Aptos" w:eastAsia="Aptos" w:hAnsi="Aptos" w:cs="Aptos"/>
          <w:color w:val="000000" w:themeColor="text1"/>
        </w:rPr>
      </w:pPr>
    </w:p>
    <w:sectPr w:rsidR="00BC0338" w:rsidSect="00E41F56">
      <w:headerReference w:type="default" r:id="rId12"/>
      <w:footerReference w:type="default" r:id="rId13"/>
      <w:pgSz w:w="11906" w:h="16838"/>
      <w:pgMar w:top="1134" w:right="1440" w:bottom="567" w:left="1440" w:header="720" w:footer="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3511A" w14:textId="77777777" w:rsidR="00482F4D" w:rsidRDefault="00482F4D">
      <w:pPr>
        <w:spacing w:after="0" w:line="240" w:lineRule="auto"/>
      </w:pPr>
      <w:r>
        <w:separator/>
      </w:r>
    </w:p>
  </w:endnote>
  <w:endnote w:type="continuationSeparator" w:id="0">
    <w:p w14:paraId="304A3DAD" w14:textId="77777777" w:rsidR="00482F4D" w:rsidRDefault="00482F4D">
      <w:pPr>
        <w:spacing w:after="0" w:line="240" w:lineRule="auto"/>
      </w:pPr>
      <w:r>
        <w:continuationSeparator/>
      </w:r>
    </w:p>
  </w:endnote>
  <w:endnote w:type="continuationNotice" w:id="1">
    <w:p w14:paraId="736A61D6" w14:textId="77777777" w:rsidR="00482F4D" w:rsidRDefault="00482F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0B86" w14:textId="77777777" w:rsidR="00F44F87" w:rsidRPr="00F44F87" w:rsidRDefault="00F44F87">
    <w:pPr>
      <w:pStyle w:val="Footer"/>
      <w:jc w:val="center"/>
      <w:rPr>
        <w:rFonts w:ascii="Segoe UI" w:hAnsi="Segoe UI" w:cs="Segoe UI"/>
        <w:sz w:val="16"/>
        <w:szCs w:val="16"/>
      </w:rPr>
    </w:pPr>
    <w:r w:rsidRPr="00F44F87">
      <w:rPr>
        <w:rFonts w:ascii="Segoe UI" w:hAnsi="Segoe UI" w:cs="Segoe UI"/>
        <w:sz w:val="16"/>
        <w:szCs w:val="16"/>
      </w:rPr>
      <w:t xml:space="preserve">Page </w:t>
    </w:r>
    <w:r w:rsidRPr="00F44F87">
      <w:rPr>
        <w:rFonts w:ascii="Segoe UI" w:hAnsi="Segoe UI" w:cs="Segoe UI"/>
        <w:sz w:val="16"/>
        <w:szCs w:val="16"/>
      </w:rPr>
      <w:fldChar w:fldCharType="begin"/>
    </w:r>
    <w:r w:rsidRPr="00F44F87">
      <w:rPr>
        <w:rFonts w:ascii="Segoe UI" w:hAnsi="Segoe UI" w:cs="Segoe UI"/>
        <w:sz w:val="16"/>
        <w:szCs w:val="16"/>
      </w:rPr>
      <w:instrText>PAGE  \* Arabic  \* MERGEFORMAT</w:instrText>
    </w:r>
    <w:r w:rsidRPr="00F44F87">
      <w:rPr>
        <w:rFonts w:ascii="Segoe UI" w:hAnsi="Segoe UI" w:cs="Segoe UI"/>
        <w:sz w:val="16"/>
        <w:szCs w:val="16"/>
      </w:rPr>
      <w:fldChar w:fldCharType="separate"/>
    </w:r>
    <w:r w:rsidRPr="00F44F87">
      <w:rPr>
        <w:rFonts w:ascii="Segoe UI" w:hAnsi="Segoe UI" w:cs="Segoe UI"/>
        <w:sz w:val="16"/>
        <w:szCs w:val="16"/>
      </w:rPr>
      <w:t>2</w:t>
    </w:r>
    <w:r w:rsidRPr="00F44F87">
      <w:rPr>
        <w:rFonts w:ascii="Segoe UI" w:hAnsi="Segoe UI" w:cs="Segoe UI"/>
        <w:sz w:val="16"/>
        <w:szCs w:val="16"/>
      </w:rPr>
      <w:fldChar w:fldCharType="end"/>
    </w:r>
    <w:r w:rsidRPr="00F44F87">
      <w:rPr>
        <w:rFonts w:ascii="Segoe UI" w:hAnsi="Segoe UI" w:cs="Segoe UI"/>
        <w:sz w:val="16"/>
        <w:szCs w:val="16"/>
      </w:rPr>
      <w:t xml:space="preserve"> of </w:t>
    </w:r>
    <w:r w:rsidRPr="00F44F87">
      <w:rPr>
        <w:rFonts w:ascii="Segoe UI" w:hAnsi="Segoe UI" w:cs="Segoe UI"/>
        <w:sz w:val="16"/>
        <w:szCs w:val="16"/>
      </w:rPr>
      <w:fldChar w:fldCharType="begin"/>
    </w:r>
    <w:r w:rsidRPr="00F44F87">
      <w:rPr>
        <w:rFonts w:ascii="Segoe UI" w:hAnsi="Segoe UI" w:cs="Segoe UI"/>
        <w:sz w:val="16"/>
        <w:szCs w:val="16"/>
      </w:rPr>
      <w:instrText>NUMPAGES  \* Arabic  \* MERGEFORMAT</w:instrText>
    </w:r>
    <w:r w:rsidRPr="00F44F87">
      <w:rPr>
        <w:rFonts w:ascii="Segoe UI" w:hAnsi="Segoe UI" w:cs="Segoe UI"/>
        <w:sz w:val="16"/>
        <w:szCs w:val="16"/>
      </w:rPr>
      <w:fldChar w:fldCharType="separate"/>
    </w:r>
    <w:r w:rsidRPr="00F44F87">
      <w:rPr>
        <w:rFonts w:ascii="Segoe UI" w:hAnsi="Segoe UI" w:cs="Segoe UI"/>
        <w:sz w:val="16"/>
        <w:szCs w:val="16"/>
      </w:rPr>
      <w:t>2</w:t>
    </w:r>
    <w:r w:rsidRPr="00F44F87">
      <w:rPr>
        <w:rFonts w:ascii="Segoe UI" w:hAnsi="Segoe UI" w:cs="Segoe UI"/>
        <w:sz w:val="16"/>
        <w:szCs w:val="16"/>
      </w:rPr>
      <w:fldChar w:fldCharType="end"/>
    </w:r>
  </w:p>
  <w:p w14:paraId="05F181D3" w14:textId="4244CE5C" w:rsidR="582284F0" w:rsidRDefault="582284F0" w:rsidP="58228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51C24" w14:textId="77777777" w:rsidR="00482F4D" w:rsidRDefault="00482F4D">
      <w:pPr>
        <w:spacing w:after="0" w:line="240" w:lineRule="auto"/>
      </w:pPr>
      <w:r>
        <w:separator/>
      </w:r>
    </w:p>
  </w:footnote>
  <w:footnote w:type="continuationSeparator" w:id="0">
    <w:p w14:paraId="3D26C630" w14:textId="77777777" w:rsidR="00482F4D" w:rsidRDefault="00482F4D">
      <w:pPr>
        <w:spacing w:after="0" w:line="240" w:lineRule="auto"/>
      </w:pPr>
      <w:r>
        <w:continuationSeparator/>
      </w:r>
    </w:p>
  </w:footnote>
  <w:footnote w:type="continuationNotice" w:id="1">
    <w:p w14:paraId="450913D9" w14:textId="77777777" w:rsidR="00482F4D" w:rsidRDefault="00482F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2284F0" w14:paraId="3AD1A24C" w14:textId="77777777" w:rsidTr="582284F0">
      <w:trPr>
        <w:trHeight w:val="300"/>
      </w:trPr>
      <w:tc>
        <w:tcPr>
          <w:tcW w:w="3005" w:type="dxa"/>
        </w:tcPr>
        <w:p w14:paraId="339E03C6" w14:textId="138CD936" w:rsidR="582284F0" w:rsidRDefault="582284F0" w:rsidP="582284F0">
          <w:pPr>
            <w:pStyle w:val="Header"/>
            <w:ind w:left="-115"/>
          </w:pPr>
        </w:p>
      </w:tc>
      <w:tc>
        <w:tcPr>
          <w:tcW w:w="3005" w:type="dxa"/>
        </w:tcPr>
        <w:p w14:paraId="5F86550E" w14:textId="092E583C" w:rsidR="582284F0" w:rsidRDefault="582284F0" w:rsidP="582284F0">
          <w:pPr>
            <w:pStyle w:val="Header"/>
            <w:jc w:val="center"/>
          </w:pPr>
        </w:p>
      </w:tc>
      <w:tc>
        <w:tcPr>
          <w:tcW w:w="3005" w:type="dxa"/>
        </w:tcPr>
        <w:p w14:paraId="18043423" w14:textId="2B326C67" w:rsidR="582284F0" w:rsidRDefault="582284F0" w:rsidP="582284F0">
          <w:pPr>
            <w:pStyle w:val="Header"/>
            <w:ind w:right="-115"/>
            <w:jc w:val="right"/>
          </w:pPr>
        </w:p>
      </w:tc>
    </w:tr>
  </w:tbl>
  <w:p w14:paraId="512D4071" w14:textId="14F81110" w:rsidR="582284F0" w:rsidRDefault="582284F0" w:rsidP="00BD2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7C31"/>
    <w:multiLevelType w:val="hybridMultilevel"/>
    <w:tmpl w:val="C5D03A1A"/>
    <w:lvl w:ilvl="0" w:tplc="63E48644">
      <w:start w:val="21"/>
      <w:numFmt w:val="decimal"/>
      <w:lvlText w:val="%1."/>
      <w:lvlJc w:val="left"/>
      <w:pPr>
        <w:ind w:left="720" w:hanging="360"/>
      </w:pPr>
      <w:rPr>
        <w:rFonts w:ascii="Aptos" w:hAnsi="Aptos" w:hint="default"/>
      </w:rPr>
    </w:lvl>
    <w:lvl w:ilvl="1" w:tplc="5B8A2498">
      <w:start w:val="1"/>
      <w:numFmt w:val="lowerLetter"/>
      <w:lvlText w:val="%2."/>
      <w:lvlJc w:val="left"/>
      <w:pPr>
        <w:ind w:left="1440" w:hanging="360"/>
      </w:pPr>
    </w:lvl>
    <w:lvl w:ilvl="2" w:tplc="3510EDD0">
      <w:start w:val="1"/>
      <w:numFmt w:val="lowerRoman"/>
      <w:lvlText w:val="%3."/>
      <w:lvlJc w:val="right"/>
      <w:pPr>
        <w:ind w:left="2160" w:hanging="180"/>
      </w:pPr>
    </w:lvl>
    <w:lvl w:ilvl="3" w:tplc="FB78CB20">
      <w:start w:val="1"/>
      <w:numFmt w:val="decimal"/>
      <w:lvlText w:val="%4."/>
      <w:lvlJc w:val="left"/>
      <w:pPr>
        <w:ind w:left="2880" w:hanging="360"/>
      </w:pPr>
    </w:lvl>
    <w:lvl w:ilvl="4" w:tplc="2904DD6E">
      <w:start w:val="1"/>
      <w:numFmt w:val="lowerLetter"/>
      <w:lvlText w:val="%5."/>
      <w:lvlJc w:val="left"/>
      <w:pPr>
        <w:ind w:left="3600" w:hanging="360"/>
      </w:pPr>
    </w:lvl>
    <w:lvl w:ilvl="5" w:tplc="6512BBD2">
      <w:start w:val="1"/>
      <w:numFmt w:val="lowerRoman"/>
      <w:lvlText w:val="%6."/>
      <w:lvlJc w:val="right"/>
      <w:pPr>
        <w:ind w:left="4320" w:hanging="180"/>
      </w:pPr>
    </w:lvl>
    <w:lvl w:ilvl="6" w:tplc="155A9B80">
      <w:start w:val="1"/>
      <w:numFmt w:val="decimal"/>
      <w:lvlText w:val="%7."/>
      <w:lvlJc w:val="left"/>
      <w:pPr>
        <w:ind w:left="5040" w:hanging="360"/>
      </w:pPr>
    </w:lvl>
    <w:lvl w:ilvl="7" w:tplc="10F2632E">
      <w:start w:val="1"/>
      <w:numFmt w:val="lowerLetter"/>
      <w:lvlText w:val="%8."/>
      <w:lvlJc w:val="left"/>
      <w:pPr>
        <w:ind w:left="5760" w:hanging="360"/>
      </w:pPr>
    </w:lvl>
    <w:lvl w:ilvl="8" w:tplc="369C897A">
      <w:start w:val="1"/>
      <w:numFmt w:val="lowerRoman"/>
      <w:lvlText w:val="%9."/>
      <w:lvlJc w:val="right"/>
      <w:pPr>
        <w:ind w:left="6480" w:hanging="180"/>
      </w:pPr>
    </w:lvl>
  </w:abstractNum>
  <w:abstractNum w:abstractNumId="1" w15:restartNumberingAfterBreak="0">
    <w:nsid w:val="18369EEB"/>
    <w:multiLevelType w:val="hybridMultilevel"/>
    <w:tmpl w:val="6076083E"/>
    <w:lvl w:ilvl="0" w:tplc="A044E220">
      <w:start w:val="16"/>
      <w:numFmt w:val="decimal"/>
      <w:lvlText w:val="%1."/>
      <w:lvlJc w:val="left"/>
      <w:pPr>
        <w:ind w:left="720" w:hanging="360"/>
      </w:pPr>
      <w:rPr>
        <w:rFonts w:ascii="Aptos" w:hAnsi="Aptos" w:hint="default"/>
      </w:rPr>
    </w:lvl>
    <w:lvl w:ilvl="1" w:tplc="90521936">
      <w:start w:val="1"/>
      <w:numFmt w:val="lowerLetter"/>
      <w:lvlText w:val="%2."/>
      <w:lvlJc w:val="left"/>
      <w:pPr>
        <w:ind w:left="1440" w:hanging="360"/>
      </w:pPr>
    </w:lvl>
    <w:lvl w:ilvl="2" w:tplc="85FA5296">
      <w:start w:val="1"/>
      <w:numFmt w:val="lowerRoman"/>
      <w:lvlText w:val="%3."/>
      <w:lvlJc w:val="right"/>
      <w:pPr>
        <w:ind w:left="2160" w:hanging="180"/>
      </w:pPr>
    </w:lvl>
    <w:lvl w:ilvl="3" w:tplc="ADB6BCE8">
      <w:start w:val="1"/>
      <w:numFmt w:val="decimal"/>
      <w:lvlText w:val="%4."/>
      <w:lvlJc w:val="left"/>
      <w:pPr>
        <w:ind w:left="2880" w:hanging="360"/>
      </w:pPr>
    </w:lvl>
    <w:lvl w:ilvl="4" w:tplc="A3D00052">
      <w:start w:val="1"/>
      <w:numFmt w:val="lowerLetter"/>
      <w:lvlText w:val="%5."/>
      <w:lvlJc w:val="left"/>
      <w:pPr>
        <w:ind w:left="3600" w:hanging="360"/>
      </w:pPr>
    </w:lvl>
    <w:lvl w:ilvl="5" w:tplc="CAEA15FC">
      <w:start w:val="1"/>
      <w:numFmt w:val="lowerRoman"/>
      <w:lvlText w:val="%6."/>
      <w:lvlJc w:val="right"/>
      <w:pPr>
        <w:ind w:left="4320" w:hanging="180"/>
      </w:pPr>
    </w:lvl>
    <w:lvl w:ilvl="6" w:tplc="EBA0E5A8">
      <w:start w:val="1"/>
      <w:numFmt w:val="decimal"/>
      <w:lvlText w:val="%7."/>
      <w:lvlJc w:val="left"/>
      <w:pPr>
        <w:ind w:left="5040" w:hanging="360"/>
      </w:pPr>
    </w:lvl>
    <w:lvl w:ilvl="7" w:tplc="E8ACB996">
      <w:start w:val="1"/>
      <w:numFmt w:val="lowerLetter"/>
      <w:lvlText w:val="%8."/>
      <w:lvlJc w:val="left"/>
      <w:pPr>
        <w:ind w:left="5760" w:hanging="360"/>
      </w:pPr>
    </w:lvl>
    <w:lvl w:ilvl="8" w:tplc="3138ACF2">
      <w:start w:val="1"/>
      <w:numFmt w:val="lowerRoman"/>
      <w:lvlText w:val="%9."/>
      <w:lvlJc w:val="right"/>
      <w:pPr>
        <w:ind w:left="6480" w:hanging="180"/>
      </w:pPr>
    </w:lvl>
  </w:abstractNum>
  <w:abstractNum w:abstractNumId="2" w15:restartNumberingAfterBreak="0">
    <w:nsid w:val="18C18130"/>
    <w:multiLevelType w:val="hybridMultilevel"/>
    <w:tmpl w:val="E08A9F0E"/>
    <w:lvl w:ilvl="0" w:tplc="41EA3808">
      <w:start w:val="13"/>
      <w:numFmt w:val="decimal"/>
      <w:lvlText w:val="%1."/>
      <w:lvlJc w:val="left"/>
      <w:pPr>
        <w:ind w:left="720" w:hanging="360"/>
      </w:pPr>
    </w:lvl>
    <w:lvl w:ilvl="1" w:tplc="DD5A7EDC">
      <w:start w:val="1"/>
      <w:numFmt w:val="lowerLetter"/>
      <w:lvlText w:val="%2."/>
      <w:lvlJc w:val="left"/>
      <w:pPr>
        <w:ind w:left="1440" w:hanging="360"/>
      </w:pPr>
    </w:lvl>
    <w:lvl w:ilvl="2" w:tplc="542E00D8">
      <w:start w:val="1"/>
      <w:numFmt w:val="lowerRoman"/>
      <w:lvlText w:val="%3."/>
      <w:lvlJc w:val="right"/>
      <w:pPr>
        <w:ind w:left="2160" w:hanging="180"/>
      </w:pPr>
    </w:lvl>
    <w:lvl w:ilvl="3" w:tplc="D654D4FA">
      <w:start w:val="1"/>
      <w:numFmt w:val="decimal"/>
      <w:lvlText w:val="%4."/>
      <w:lvlJc w:val="left"/>
      <w:pPr>
        <w:ind w:left="2880" w:hanging="360"/>
      </w:pPr>
    </w:lvl>
    <w:lvl w:ilvl="4" w:tplc="FCACECBA">
      <w:start w:val="1"/>
      <w:numFmt w:val="lowerLetter"/>
      <w:lvlText w:val="%5."/>
      <w:lvlJc w:val="left"/>
      <w:pPr>
        <w:ind w:left="3600" w:hanging="360"/>
      </w:pPr>
    </w:lvl>
    <w:lvl w:ilvl="5" w:tplc="39F82ECA">
      <w:start w:val="1"/>
      <w:numFmt w:val="lowerRoman"/>
      <w:lvlText w:val="%6."/>
      <w:lvlJc w:val="right"/>
      <w:pPr>
        <w:ind w:left="4320" w:hanging="180"/>
      </w:pPr>
    </w:lvl>
    <w:lvl w:ilvl="6" w:tplc="7E307C4C">
      <w:start w:val="1"/>
      <w:numFmt w:val="decimal"/>
      <w:lvlText w:val="%7."/>
      <w:lvlJc w:val="left"/>
      <w:pPr>
        <w:ind w:left="5040" w:hanging="360"/>
      </w:pPr>
    </w:lvl>
    <w:lvl w:ilvl="7" w:tplc="FD7ABE14">
      <w:start w:val="1"/>
      <w:numFmt w:val="lowerLetter"/>
      <w:lvlText w:val="%8."/>
      <w:lvlJc w:val="left"/>
      <w:pPr>
        <w:ind w:left="5760" w:hanging="360"/>
      </w:pPr>
    </w:lvl>
    <w:lvl w:ilvl="8" w:tplc="BE52CD04">
      <w:start w:val="1"/>
      <w:numFmt w:val="lowerRoman"/>
      <w:lvlText w:val="%9."/>
      <w:lvlJc w:val="right"/>
      <w:pPr>
        <w:ind w:left="6480" w:hanging="180"/>
      </w:pPr>
    </w:lvl>
  </w:abstractNum>
  <w:abstractNum w:abstractNumId="3" w15:restartNumberingAfterBreak="0">
    <w:nsid w:val="240C657D"/>
    <w:multiLevelType w:val="hybridMultilevel"/>
    <w:tmpl w:val="BB94B956"/>
    <w:lvl w:ilvl="0" w:tplc="AD8072BC">
      <w:start w:val="9"/>
      <w:numFmt w:val="decimal"/>
      <w:lvlText w:val="%1."/>
      <w:lvlJc w:val="left"/>
      <w:pPr>
        <w:ind w:left="720" w:hanging="360"/>
      </w:pPr>
      <w:rPr>
        <w:rFonts w:ascii="Aptos" w:hAnsi="Aptos" w:hint="default"/>
      </w:rPr>
    </w:lvl>
    <w:lvl w:ilvl="1" w:tplc="2FB6DCAA">
      <w:start w:val="1"/>
      <w:numFmt w:val="lowerLetter"/>
      <w:lvlText w:val="%2."/>
      <w:lvlJc w:val="left"/>
      <w:pPr>
        <w:ind w:left="1440" w:hanging="360"/>
      </w:pPr>
    </w:lvl>
    <w:lvl w:ilvl="2" w:tplc="FD24F7D8">
      <w:start w:val="1"/>
      <w:numFmt w:val="lowerRoman"/>
      <w:lvlText w:val="%3."/>
      <w:lvlJc w:val="right"/>
      <w:pPr>
        <w:ind w:left="2160" w:hanging="180"/>
      </w:pPr>
    </w:lvl>
    <w:lvl w:ilvl="3" w:tplc="E2AA3898">
      <w:start w:val="1"/>
      <w:numFmt w:val="decimal"/>
      <w:lvlText w:val="%4."/>
      <w:lvlJc w:val="left"/>
      <w:pPr>
        <w:ind w:left="2880" w:hanging="360"/>
      </w:pPr>
    </w:lvl>
    <w:lvl w:ilvl="4" w:tplc="A858B9DA">
      <w:start w:val="1"/>
      <w:numFmt w:val="lowerLetter"/>
      <w:lvlText w:val="%5."/>
      <w:lvlJc w:val="left"/>
      <w:pPr>
        <w:ind w:left="3600" w:hanging="360"/>
      </w:pPr>
    </w:lvl>
    <w:lvl w:ilvl="5" w:tplc="50484C02">
      <w:start w:val="1"/>
      <w:numFmt w:val="lowerRoman"/>
      <w:lvlText w:val="%6."/>
      <w:lvlJc w:val="right"/>
      <w:pPr>
        <w:ind w:left="4320" w:hanging="180"/>
      </w:pPr>
    </w:lvl>
    <w:lvl w:ilvl="6" w:tplc="531CADEC">
      <w:start w:val="1"/>
      <w:numFmt w:val="decimal"/>
      <w:lvlText w:val="%7."/>
      <w:lvlJc w:val="left"/>
      <w:pPr>
        <w:ind w:left="5040" w:hanging="360"/>
      </w:pPr>
    </w:lvl>
    <w:lvl w:ilvl="7" w:tplc="BE5C44C2">
      <w:start w:val="1"/>
      <w:numFmt w:val="lowerLetter"/>
      <w:lvlText w:val="%8."/>
      <w:lvlJc w:val="left"/>
      <w:pPr>
        <w:ind w:left="5760" w:hanging="360"/>
      </w:pPr>
    </w:lvl>
    <w:lvl w:ilvl="8" w:tplc="30AE0E70">
      <w:start w:val="1"/>
      <w:numFmt w:val="lowerRoman"/>
      <w:lvlText w:val="%9."/>
      <w:lvlJc w:val="right"/>
      <w:pPr>
        <w:ind w:left="6480" w:hanging="180"/>
      </w:pPr>
    </w:lvl>
  </w:abstractNum>
  <w:abstractNum w:abstractNumId="4" w15:restartNumberingAfterBreak="0">
    <w:nsid w:val="30792A3F"/>
    <w:multiLevelType w:val="hybridMultilevel"/>
    <w:tmpl w:val="22EAE6B4"/>
    <w:lvl w:ilvl="0" w:tplc="0AFCAB3E">
      <w:start w:val="10"/>
      <w:numFmt w:val="decimal"/>
      <w:lvlText w:val="%1."/>
      <w:lvlJc w:val="left"/>
      <w:pPr>
        <w:ind w:left="720" w:hanging="360"/>
      </w:pPr>
      <w:rPr>
        <w:rFonts w:ascii="Aptos" w:hAnsi="Aptos" w:hint="default"/>
      </w:rPr>
    </w:lvl>
    <w:lvl w:ilvl="1" w:tplc="FEC0AC32">
      <w:start w:val="1"/>
      <w:numFmt w:val="lowerLetter"/>
      <w:lvlText w:val="%2."/>
      <w:lvlJc w:val="left"/>
      <w:pPr>
        <w:ind w:left="1440" w:hanging="360"/>
      </w:pPr>
    </w:lvl>
    <w:lvl w:ilvl="2" w:tplc="86B09DDA">
      <w:start w:val="1"/>
      <w:numFmt w:val="lowerRoman"/>
      <w:lvlText w:val="%3."/>
      <w:lvlJc w:val="right"/>
      <w:pPr>
        <w:ind w:left="2160" w:hanging="180"/>
      </w:pPr>
    </w:lvl>
    <w:lvl w:ilvl="3" w:tplc="2DFA4CBE">
      <w:start w:val="1"/>
      <w:numFmt w:val="decimal"/>
      <w:lvlText w:val="%4."/>
      <w:lvlJc w:val="left"/>
      <w:pPr>
        <w:ind w:left="2880" w:hanging="360"/>
      </w:pPr>
    </w:lvl>
    <w:lvl w:ilvl="4" w:tplc="82881240">
      <w:start w:val="1"/>
      <w:numFmt w:val="lowerLetter"/>
      <w:lvlText w:val="%5."/>
      <w:lvlJc w:val="left"/>
      <w:pPr>
        <w:ind w:left="3600" w:hanging="360"/>
      </w:pPr>
    </w:lvl>
    <w:lvl w:ilvl="5" w:tplc="62AE02C0">
      <w:start w:val="1"/>
      <w:numFmt w:val="lowerRoman"/>
      <w:lvlText w:val="%6."/>
      <w:lvlJc w:val="right"/>
      <w:pPr>
        <w:ind w:left="4320" w:hanging="180"/>
      </w:pPr>
    </w:lvl>
    <w:lvl w:ilvl="6" w:tplc="EC80753E">
      <w:start w:val="1"/>
      <w:numFmt w:val="decimal"/>
      <w:lvlText w:val="%7."/>
      <w:lvlJc w:val="left"/>
      <w:pPr>
        <w:ind w:left="5040" w:hanging="360"/>
      </w:pPr>
    </w:lvl>
    <w:lvl w:ilvl="7" w:tplc="314E023A">
      <w:start w:val="1"/>
      <w:numFmt w:val="lowerLetter"/>
      <w:lvlText w:val="%8."/>
      <w:lvlJc w:val="left"/>
      <w:pPr>
        <w:ind w:left="5760" w:hanging="360"/>
      </w:pPr>
    </w:lvl>
    <w:lvl w:ilvl="8" w:tplc="E1AE9610">
      <w:start w:val="1"/>
      <w:numFmt w:val="lowerRoman"/>
      <w:lvlText w:val="%9."/>
      <w:lvlJc w:val="right"/>
      <w:pPr>
        <w:ind w:left="6480" w:hanging="180"/>
      </w:pPr>
    </w:lvl>
  </w:abstractNum>
  <w:abstractNum w:abstractNumId="5" w15:restartNumberingAfterBreak="0">
    <w:nsid w:val="31060882"/>
    <w:multiLevelType w:val="hybridMultilevel"/>
    <w:tmpl w:val="DAE4EEE0"/>
    <w:lvl w:ilvl="0" w:tplc="A9FCAFDA">
      <w:start w:val="1"/>
      <w:numFmt w:val="decimal"/>
      <w:lvlText w:val="%1."/>
      <w:lvlJc w:val="left"/>
      <w:pPr>
        <w:ind w:left="720" w:hanging="360"/>
      </w:pPr>
      <w:rPr>
        <w:rFonts w:ascii="Aptos" w:hAnsi="Aptos" w:hint="default"/>
      </w:rPr>
    </w:lvl>
    <w:lvl w:ilvl="1" w:tplc="E29061FE">
      <w:start w:val="1"/>
      <w:numFmt w:val="lowerLetter"/>
      <w:lvlText w:val="%2."/>
      <w:lvlJc w:val="left"/>
      <w:pPr>
        <w:ind w:left="1440" w:hanging="360"/>
      </w:pPr>
    </w:lvl>
    <w:lvl w:ilvl="2" w:tplc="E094199E">
      <w:start w:val="1"/>
      <w:numFmt w:val="lowerRoman"/>
      <w:lvlText w:val="%3."/>
      <w:lvlJc w:val="right"/>
      <w:pPr>
        <w:ind w:left="2160" w:hanging="180"/>
      </w:pPr>
    </w:lvl>
    <w:lvl w:ilvl="3" w:tplc="10423154">
      <w:start w:val="1"/>
      <w:numFmt w:val="decimal"/>
      <w:lvlText w:val="%4."/>
      <w:lvlJc w:val="left"/>
      <w:pPr>
        <w:ind w:left="2880" w:hanging="360"/>
      </w:pPr>
    </w:lvl>
    <w:lvl w:ilvl="4" w:tplc="D3C83D7C">
      <w:start w:val="1"/>
      <w:numFmt w:val="lowerLetter"/>
      <w:lvlText w:val="%5."/>
      <w:lvlJc w:val="left"/>
      <w:pPr>
        <w:ind w:left="3600" w:hanging="360"/>
      </w:pPr>
    </w:lvl>
    <w:lvl w:ilvl="5" w:tplc="1A128848">
      <w:start w:val="1"/>
      <w:numFmt w:val="lowerRoman"/>
      <w:lvlText w:val="%6."/>
      <w:lvlJc w:val="right"/>
      <w:pPr>
        <w:ind w:left="4320" w:hanging="180"/>
      </w:pPr>
    </w:lvl>
    <w:lvl w:ilvl="6" w:tplc="96A8286E">
      <w:start w:val="1"/>
      <w:numFmt w:val="decimal"/>
      <w:lvlText w:val="%7."/>
      <w:lvlJc w:val="left"/>
      <w:pPr>
        <w:ind w:left="5040" w:hanging="360"/>
      </w:pPr>
    </w:lvl>
    <w:lvl w:ilvl="7" w:tplc="8C5C117A">
      <w:start w:val="1"/>
      <w:numFmt w:val="lowerLetter"/>
      <w:lvlText w:val="%8."/>
      <w:lvlJc w:val="left"/>
      <w:pPr>
        <w:ind w:left="5760" w:hanging="360"/>
      </w:pPr>
    </w:lvl>
    <w:lvl w:ilvl="8" w:tplc="BFB40A02">
      <w:start w:val="1"/>
      <w:numFmt w:val="lowerRoman"/>
      <w:lvlText w:val="%9."/>
      <w:lvlJc w:val="right"/>
      <w:pPr>
        <w:ind w:left="6480" w:hanging="180"/>
      </w:pPr>
    </w:lvl>
  </w:abstractNum>
  <w:abstractNum w:abstractNumId="6" w15:restartNumberingAfterBreak="0">
    <w:nsid w:val="318ECD07"/>
    <w:multiLevelType w:val="hybridMultilevel"/>
    <w:tmpl w:val="5DCE3114"/>
    <w:lvl w:ilvl="0" w:tplc="3A52BD00">
      <w:start w:val="14"/>
      <w:numFmt w:val="decimal"/>
      <w:lvlText w:val="%1."/>
      <w:lvlJc w:val="left"/>
      <w:pPr>
        <w:ind w:left="720" w:hanging="360"/>
      </w:pPr>
      <w:rPr>
        <w:rFonts w:ascii="Aptos" w:hAnsi="Aptos" w:hint="default"/>
      </w:rPr>
    </w:lvl>
    <w:lvl w:ilvl="1" w:tplc="272E8EA2">
      <w:start w:val="1"/>
      <w:numFmt w:val="lowerLetter"/>
      <w:lvlText w:val="%2."/>
      <w:lvlJc w:val="left"/>
      <w:pPr>
        <w:ind w:left="1440" w:hanging="360"/>
      </w:pPr>
    </w:lvl>
    <w:lvl w:ilvl="2" w:tplc="3E72EED2">
      <w:start w:val="1"/>
      <w:numFmt w:val="lowerRoman"/>
      <w:lvlText w:val="%3."/>
      <w:lvlJc w:val="right"/>
      <w:pPr>
        <w:ind w:left="2160" w:hanging="180"/>
      </w:pPr>
    </w:lvl>
    <w:lvl w:ilvl="3" w:tplc="A7C6D5D2">
      <w:start w:val="1"/>
      <w:numFmt w:val="decimal"/>
      <w:lvlText w:val="%4."/>
      <w:lvlJc w:val="left"/>
      <w:pPr>
        <w:ind w:left="2880" w:hanging="360"/>
      </w:pPr>
    </w:lvl>
    <w:lvl w:ilvl="4" w:tplc="5F00F09C">
      <w:start w:val="1"/>
      <w:numFmt w:val="lowerLetter"/>
      <w:lvlText w:val="%5."/>
      <w:lvlJc w:val="left"/>
      <w:pPr>
        <w:ind w:left="3600" w:hanging="360"/>
      </w:pPr>
    </w:lvl>
    <w:lvl w:ilvl="5" w:tplc="1AF6D3E2">
      <w:start w:val="1"/>
      <w:numFmt w:val="lowerRoman"/>
      <w:lvlText w:val="%6."/>
      <w:lvlJc w:val="right"/>
      <w:pPr>
        <w:ind w:left="4320" w:hanging="180"/>
      </w:pPr>
    </w:lvl>
    <w:lvl w:ilvl="6" w:tplc="39B2E0D2">
      <w:start w:val="1"/>
      <w:numFmt w:val="decimal"/>
      <w:lvlText w:val="%7."/>
      <w:lvlJc w:val="left"/>
      <w:pPr>
        <w:ind w:left="5040" w:hanging="360"/>
      </w:pPr>
    </w:lvl>
    <w:lvl w:ilvl="7" w:tplc="5B6E0216">
      <w:start w:val="1"/>
      <w:numFmt w:val="lowerLetter"/>
      <w:lvlText w:val="%8."/>
      <w:lvlJc w:val="left"/>
      <w:pPr>
        <w:ind w:left="5760" w:hanging="360"/>
      </w:pPr>
    </w:lvl>
    <w:lvl w:ilvl="8" w:tplc="6152FB82">
      <w:start w:val="1"/>
      <w:numFmt w:val="lowerRoman"/>
      <w:lvlText w:val="%9."/>
      <w:lvlJc w:val="right"/>
      <w:pPr>
        <w:ind w:left="6480" w:hanging="180"/>
      </w:pPr>
    </w:lvl>
  </w:abstractNum>
  <w:abstractNum w:abstractNumId="7" w15:restartNumberingAfterBreak="0">
    <w:nsid w:val="34777F05"/>
    <w:multiLevelType w:val="hybridMultilevel"/>
    <w:tmpl w:val="9E8C0742"/>
    <w:lvl w:ilvl="0" w:tplc="EFA2A4A4">
      <w:start w:val="11"/>
      <w:numFmt w:val="decimal"/>
      <w:lvlText w:val="%1."/>
      <w:lvlJc w:val="left"/>
      <w:pPr>
        <w:ind w:left="720" w:hanging="360"/>
      </w:pPr>
    </w:lvl>
    <w:lvl w:ilvl="1" w:tplc="C036590E">
      <w:start w:val="1"/>
      <w:numFmt w:val="lowerLetter"/>
      <w:lvlText w:val="%2."/>
      <w:lvlJc w:val="left"/>
      <w:pPr>
        <w:ind w:left="1440" w:hanging="360"/>
      </w:pPr>
    </w:lvl>
    <w:lvl w:ilvl="2" w:tplc="FD904958">
      <w:start w:val="1"/>
      <w:numFmt w:val="lowerRoman"/>
      <w:lvlText w:val="%3."/>
      <w:lvlJc w:val="right"/>
      <w:pPr>
        <w:ind w:left="2160" w:hanging="180"/>
      </w:pPr>
    </w:lvl>
    <w:lvl w:ilvl="3" w:tplc="3FBC92A8">
      <w:start w:val="1"/>
      <w:numFmt w:val="decimal"/>
      <w:lvlText w:val="%4."/>
      <w:lvlJc w:val="left"/>
      <w:pPr>
        <w:ind w:left="2880" w:hanging="360"/>
      </w:pPr>
    </w:lvl>
    <w:lvl w:ilvl="4" w:tplc="CE10F388">
      <w:start w:val="1"/>
      <w:numFmt w:val="lowerLetter"/>
      <w:lvlText w:val="%5."/>
      <w:lvlJc w:val="left"/>
      <w:pPr>
        <w:ind w:left="3600" w:hanging="360"/>
      </w:pPr>
    </w:lvl>
    <w:lvl w:ilvl="5" w:tplc="2D00A10A">
      <w:start w:val="1"/>
      <w:numFmt w:val="lowerRoman"/>
      <w:lvlText w:val="%6."/>
      <w:lvlJc w:val="right"/>
      <w:pPr>
        <w:ind w:left="4320" w:hanging="180"/>
      </w:pPr>
    </w:lvl>
    <w:lvl w:ilvl="6" w:tplc="636C8CD8">
      <w:start w:val="1"/>
      <w:numFmt w:val="decimal"/>
      <w:lvlText w:val="%7."/>
      <w:lvlJc w:val="left"/>
      <w:pPr>
        <w:ind w:left="5040" w:hanging="360"/>
      </w:pPr>
    </w:lvl>
    <w:lvl w:ilvl="7" w:tplc="A9A0FEA8">
      <w:start w:val="1"/>
      <w:numFmt w:val="lowerLetter"/>
      <w:lvlText w:val="%8."/>
      <w:lvlJc w:val="left"/>
      <w:pPr>
        <w:ind w:left="5760" w:hanging="360"/>
      </w:pPr>
    </w:lvl>
    <w:lvl w:ilvl="8" w:tplc="296C90EC">
      <w:start w:val="1"/>
      <w:numFmt w:val="lowerRoman"/>
      <w:lvlText w:val="%9."/>
      <w:lvlJc w:val="right"/>
      <w:pPr>
        <w:ind w:left="6480" w:hanging="180"/>
      </w:pPr>
    </w:lvl>
  </w:abstractNum>
  <w:abstractNum w:abstractNumId="8" w15:restartNumberingAfterBreak="0">
    <w:nsid w:val="3AB5B123"/>
    <w:multiLevelType w:val="hybridMultilevel"/>
    <w:tmpl w:val="2A7071A6"/>
    <w:lvl w:ilvl="0" w:tplc="79D0B9F4">
      <w:start w:val="18"/>
      <w:numFmt w:val="decimal"/>
      <w:lvlText w:val="%1."/>
      <w:lvlJc w:val="left"/>
      <w:pPr>
        <w:ind w:left="720" w:hanging="360"/>
      </w:pPr>
      <w:rPr>
        <w:rFonts w:ascii="Aptos" w:hAnsi="Aptos" w:hint="default"/>
      </w:rPr>
    </w:lvl>
    <w:lvl w:ilvl="1" w:tplc="6E82FC38">
      <w:start w:val="1"/>
      <w:numFmt w:val="lowerLetter"/>
      <w:lvlText w:val="%2."/>
      <w:lvlJc w:val="left"/>
      <w:pPr>
        <w:ind w:left="1440" w:hanging="360"/>
      </w:pPr>
    </w:lvl>
    <w:lvl w:ilvl="2" w:tplc="830868B8">
      <w:start w:val="1"/>
      <w:numFmt w:val="lowerRoman"/>
      <w:lvlText w:val="%3."/>
      <w:lvlJc w:val="right"/>
      <w:pPr>
        <w:ind w:left="2160" w:hanging="180"/>
      </w:pPr>
    </w:lvl>
    <w:lvl w:ilvl="3" w:tplc="BFEC46AE">
      <w:start w:val="1"/>
      <w:numFmt w:val="decimal"/>
      <w:lvlText w:val="%4."/>
      <w:lvlJc w:val="left"/>
      <w:pPr>
        <w:ind w:left="2880" w:hanging="360"/>
      </w:pPr>
    </w:lvl>
    <w:lvl w:ilvl="4" w:tplc="0678A580">
      <w:start w:val="1"/>
      <w:numFmt w:val="lowerLetter"/>
      <w:lvlText w:val="%5."/>
      <w:lvlJc w:val="left"/>
      <w:pPr>
        <w:ind w:left="3600" w:hanging="360"/>
      </w:pPr>
    </w:lvl>
    <w:lvl w:ilvl="5" w:tplc="D2DE39E0">
      <w:start w:val="1"/>
      <w:numFmt w:val="lowerRoman"/>
      <w:lvlText w:val="%6."/>
      <w:lvlJc w:val="right"/>
      <w:pPr>
        <w:ind w:left="4320" w:hanging="180"/>
      </w:pPr>
    </w:lvl>
    <w:lvl w:ilvl="6" w:tplc="A94680BA">
      <w:start w:val="1"/>
      <w:numFmt w:val="decimal"/>
      <w:lvlText w:val="%7."/>
      <w:lvlJc w:val="left"/>
      <w:pPr>
        <w:ind w:left="5040" w:hanging="360"/>
      </w:pPr>
    </w:lvl>
    <w:lvl w:ilvl="7" w:tplc="01FA196A">
      <w:start w:val="1"/>
      <w:numFmt w:val="lowerLetter"/>
      <w:lvlText w:val="%8."/>
      <w:lvlJc w:val="left"/>
      <w:pPr>
        <w:ind w:left="5760" w:hanging="360"/>
      </w:pPr>
    </w:lvl>
    <w:lvl w:ilvl="8" w:tplc="57220886">
      <w:start w:val="1"/>
      <w:numFmt w:val="lowerRoman"/>
      <w:lvlText w:val="%9."/>
      <w:lvlJc w:val="right"/>
      <w:pPr>
        <w:ind w:left="6480" w:hanging="180"/>
      </w:pPr>
    </w:lvl>
  </w:abstractNum>
  <w:abstractNum w:abstractNumId="9" w15:restartNumberingAfterBreak="0">
    <w:nsid w:val="5CC880C5"/>
    <w:multiLevelType w:val="hybridMultilevel"/>
    <w:tmpl w:val="42343A16"/>
    <w:lvl w:ilvl="0" w:tplc="BEB6F682">
      <w:start w:val="20"/>
      <w:numFmt w:val="decimal"/>
      <w:lvlText w:val="%1."/>
      <w:lvlJc w:val="left"/>
      <w:pPr>
        <w:ind w:left="720" w:hanging="360"/>
      </w:pPr>
      <w:rPr>
        <w:rFonts w:ascii="Aptos" w:hAnsi="Aptos" w:hint="default"/>
      </w:rPr>
    </w:lvl>
    <w:lvl w:ilvl="1" w:tplc="74648838">
      <w:start w:val="1"/>
      <w:numFmt w:val="lowerLetter"/>
      <w:lvlText w:val="%2."/>
      <w:lvlJc w:val="left"/>
      <w:pPr>
        <w:ind w:left="1440" w:hanging="360"/>
      </w:pPr>
    </w:lvl>
    <w:lvl w:ilvl="2" w:tplc="6D42FB54">
      <w:start w:val="1"/>
      <w:numFmt w:val="lowerRoman"/>
      <w:lvlText w:val="%3."/>
      <w:lvlJc w:val="right"/>
      <w:pPr>
        <w:ind w:left="2160" w:hanging="180"/>
      </w:pPr>
    </w:lvl>
    <w:lvl w:ilvl="3" w:tplc="5FB29450">
      <w:start w:val="1"/>
      <w:numFmt w:val="decimal"/>
      <w:lvlText w:val="%4."/>
      <w:lvlJc w:val="left"/>
      <w:pPr>
        <w:ind w:left="2880" w:hanging="360"/>
      </w:pPr>
    </w:lvl>
    <w:lvl w:ilvl="4" w:tplc="65B078A0">
      <w:start w:val="1"/>
      <w:numFmt w:val="lowerLetter"/>
      <w:lvlText w:val="%5."/>
      <w:lvlJc w:val="left"/>
      <w:pPr>
        <w:ind w:left="3600" w:hanging="360"/>
      </w:pPr>
    </w:lvl>
    <w:lvl w:ilvl="5" w:tplc="38BC027C">
      <w:start w:val="1"/>
      <w:numFmt w:val="lowerRoman"/>
      <w:lvlText w:val="%6."/>
      <w:lvlJc w:val="right"/>
      <w:pPr>
        <w:ind w:left="4320" w:hanging="180"/>
      </w:pPr>
    </w:lvl>
    <w:lvl w:ilvl="6" w:tplc="9CC0E6FE">
      <w:start w:val="1"/>
      <w:numFmt w:val="decimal"/>
      <w:lvlText w:val="%7."/>
      <w:lvlJc w:val="left"/>
      <w:pPr>
        <w:ind w:left="5040" w:hanging="360"/>
      </w:pPr>
    </w:lvl>
    <w:lvl w:ilvl="7" w:tplc="27A8B78E">
      <w:start w:val="1"/>
      <w:numFmt w:val="lowerLetter"/>
      <w:lvlText w:val="%8."/>
      <w:lvlJc w:val="left"/>
      <w:pPr>
        <w:ind w:left="5760" w:hanging="360"/>
      </w:pPr>
    </w:lvl>
    <w:lvl w:ilvl="8" w:tplc="5E0A43BC">
      <w:start w:val="1"/>
      <w:numFmt w:val="lowerRoman"/>
      <w:lvlText w:val="%9."/>
      <w:lvlJc w:val="right"/>
      <w:pPr>
        <w:ind w:left="6480" w:hanging="180"/>
      </w:pPr>
    </w:lvl>
  </w:abstractNum>
  <w:abstractNum w:abstractNumId="10" w15:restartNumberingAfterBreak="0">
    <w:nsid w:val="6EBAC601"/>
    <w:multiLevelType w:val="hybridMultilevel"/>
    <w:tmpl w:val="CEE6D3AA"/>
    <w:lvl w:ilvl="0" w:tplc="B180F714">
      <w:start w:val="22"/>
      <w:numFmt w:val="decimal"/>
      <w:lvlText w:val="%1."/>
      <w:lvlJc w:val="left"/>
      <w:pPr>
        <w:ind w:left="720" w:hanging="360"/>
      </w:pPr>
      <w:rPr>
        <w:rFonts w:ascii="Aptos" w:hAnsi="Aptos" w:hint="default"/>
      </w:rPr>
    </w:lvl>
    <w:lvl w:ilvl="1" w:tplc="84368F40">
      <w:start w:val="1"/>
      <w:numFmt w:val="lowerLetter"/>
      <w:lvlText w:val="%2."/>
      <w:lvlJc w:val="left"/>
      <w:pPr>
        <w:ind w:left="1440" w:hanging="360"/>
      </w:pPr>
    </w:lvl>
    <w:lvl w:ilvl="2" w:tplc="FA9237D2">
      <w:start w:val="1"/>
      <w:numFmt w:val="lowerRoman"/>
      <w:lvlText w:val="%3."/>
      <w:lvlJc w:val="right"/>
      <w:pPr>
        <w:ind w:left="2160" w:hanging="180"/>
      </w:pPr>
    </w:lvl>
    <w:lvl w:ilvl="3" w:tplc="EAA6A9E0">
      <w:start w:val="1"/>
      <w:numFmt w:val="decimal"/>
      <w:lvlText w:val="%4."/>
      <w:lvlJc w:val="left"/>
      <w:pPr>
        <w:ind w:left="2880" w:hanging="360"/>
      </w:pPr>
    </w:lvl>
    <w:lvl w:ilvl="4" w:tplc="6DCED32C">
      <w:start w:val="1"/>
      <w:numFmt w:val="lowerLetter"/>
      <w:lvlText w:val="%5."/>
      <w:lvlJc w:val="left"/>
      <w:pPr>
        <w:ind w:left="3600" w:hanging="360"/>
      </w:pPr>
    </w:lvl>
    <w:lvl w:ilvl="5" w:tplc="E856B202">
      <w:start w:val="1"/>
      <w:numFmt w:val="lowerRoman"/>
      <w:lvlText w:val="%6."/>
      <w:lvlJc w:val="right"/>
      <w:pPr>
        <w:ind w:left="4320" w:hanging="180"/>
      </w:pPr>
    </w:lvl>
    <w:lvl w:ilvl="6" w:tplc="863AC14A">
      <w:start w:val="1"/>
      <w:numFmt w:val="decimal"/>
      <w:lvlText w:val="%7."/>
      <w:lvlJc w:val="left"/>
      <w:pPr>
        <w:ind w:left="5040" w:hanging="360"/>
      </w:pPr>
    </w:lvl>
    <w:lvl w:ilvl="7" w:tplc="BAFC0F9C">
      <w:start w:val="1"/>
      <w:numFmt w:val="lowerLetter"/>
      <w:lvlText w:val="%8."/>
      <w:lvlJc w:val="left"/>
      <w:pPr>
        <w:ind w:left="5760" w:hanging="360"/>
      </w:pPr>
    </w:lvl>
    <w:lvl w:ilvl="8" w:tplc="1EDC4BC4">
      <w:start w:val="1"/>
      <w:numFmt w:val="lowerRoman"/>
      <w:lvlText w:val="%9."/>
      <w:lvlJc w:val="right"/>
      <w:pPr>
        <w:ind w:left="6480" w:hanging="180"/>
      </w:pPr>
    </w:lvl>
  </w:abstractNum>
  <w:abstractNum w:abstractNumId="11" w15:restartNumberingAfterBreak="0">
    <w:nsid w:val="761E7A73"/>
    <w:multiLevelType w:val="hybridMultilevel"/>
    <w:tmpl w:val="1188F95C"/>
    <w:lvl w:ilvl="0" w:tplc="0914AD34">
      <w:start w:val="19"/>
      <w:numFmt w:val="decimal"/>
      <w:lvlText w:val="%1."/>
      <w:lvlJc w:val="left"/>
      <w:pPr>
        <w:ind w:left="720" w:hanging="360"/>
      </w:pPr>
      <w:rPr>
        <w:rFonts w:ascii="Aptos" w:hAnsi="Aptos" w:hint="default"/>
      </w:rPr>
    </w:lvl>
    <w:lvl w:ilvl="1" w:tplc="2A08BF02">
      <w:start w:val="1"/>
      <w:numFmt w:val="lowerLetter"/>
      <w:lvlText w:val="%2."/>
      <w:lvlJc w:val="left"/>
      <w:pPr>
        <w:ind w:left="1440" w:hanging="360"/>
      </w:pPr>
    </w:lvl>
    <w:lvl w:ilvl="2" w:tplc="56487A7C">
      <w:start w:val="1"/>
      <w:numFmt w:val="lowerRoman"/>
      <w:lvlText w:val="%3."/>
      <w:lvlJc w:val="right"/>
      <w:pPr>
        <w:ind w:left="2160" w:hanging="180"/>
      </w:pPr>
    </w:lvl>
    <w:lvl w:ilvl="3" w:tplc="75DCF58C">
      <w:start w:val="1"/>
      <w:numFmt w:val="decimal"/>
      <w:lvlText w:val="%4."/>
      <w:lvlJc w:val="left"/>
      <w:pPr>
        <w:ind w:left="2880" w:hanging="360"/>
      </w:pPr>
    </w:lvl>
    <w:lvl w:ilvl="4" w:tplc="7CB82AF8">
      <w:start w:val="1"/>
      <w:numFmt w:val="lowerLetter"/>
      <w:lvlText w:val="%5."/>
      <w:lvlJc w:val="left"/>
      <w:pPr>
        <w:ind w:left="3600" w:hanging="360"/>
      </w:pPr>
    </w:lvl>
    <w:lvl w:ilvl="5" w:tplc="EF2C1012">
      <w:start w:val="1"/>
      <w:numFmt w:val="lowerRoman"/>
      <w:lvlText w:val="%6."/>
      <w:lvlJc w:val="right"/>
      <w:pPr>
        <w:ind w:left="4320" w:hanging="180"/>
      </w:pPr>
    </w:lvl>
    <w:lvl w:ilvl="6" w:tplc="0612471C">
      <w:start w:val="1"/>
      <w:numFmt w:val="decimal"/>
      <w:lvlText w:val="%7."/>
      <w:lvlJc w:val="left"/>
      <w:pPr>
        <w:ind w:left="5040" w:hanging="360"/>
      </w:pPr>
    </w:lvl>
    <w:lvl w:ilvl="7" w:tplc="7AD6FDCC">
      <w:start w:val="1"/>
      <w:numFmt w:val="lowerLetter"/>
      <w:lvlText w:val="%8."/>
      <w:lvlJc w:val="left"/>
      <w:pPr>
        <w:ind w:left="5760" w:hanging="360"/>
      </w:pPr>
    </w:lvl>
    <w:lvl w:ilvl="8" w:tplc="3E245F32">
      <w:start w:val="1"/>
      <w:numFmt w:val="lowerRoman"/>
      <w:lvlText w:val="%9."/>
      <w:lvlJc w:val="right"/>
      <w:pPr>
        <w:ind w:left="6480" w:hanging="180"/>
      </w:pPr>
    </w:lvl>
  </w:abstractNum>
  <w:abstractNum w:abstractNumId="12" w15:restartNumberingAfterBreak="0">
    <w:nsid w:val="7953A3EF"/>
    <w:multiLevelType w:val="hybridMultilevel"/>
    <w:tmpl w:val="C68683BE"/>
    <w:lvl w:ilvl="0" w:tplc="9BEE999E">
      <w:start w:val="12"/>
      <w:numFmt w:val="decimal"/>
      <w:lvlText w:val="%1."/>
      <w:lvlJc w:val="left"/>
      <w:pPr>
        <w:ind w:left="720" w:hanging="360"/>
      </w:pPr>
    </w:lvl>
    <w:lvl w:ilvl="1" w:tplc="E1A298CC">
      <w:start w:val="1"/>
      <w:numFmt w:val="lowerLetter"/>
      <w:lvlText w:val="%2."/>
      <w:lvlJc w:val="left"/>
      <w:pPr>
        <w:ind w:left="1440" w:hanging="360"/>
      </w:pPr>
    </w:lvl>
    <w:lvl w:ilvl="2" w:tplc="60E48C24">
      <w:start w:val="1"/>
      <w:numFmt w:val="lowerRoman"/>
      <w:lvlText w:val="%3."/>
      <w:lvlJc w:val="right"/>
      <w:pPr>
        <w:ind w:left="2160" w:hanging="180"/>
      </w:pPr>
    </w:lvl>
    <w:lvl w:ilvl="3" w:tplc="AF18A0F6">
      <w:start w:val="1"/>
      <w:numFmt w:val="decimal"/>
      <w:lvlText w:val="%4."/>
      <w:lvlJc w:val="left"/>
      <w:pPr>
        <w:ind w:left="2880" w:hanging="360"/>
      </w:pPr>
    </w:lvl>
    <w:lvl w:ilvl="4" w:tplc="7FB827A8">
      <w:start w:val="1"/>
      <w:numFmt w:val="lowerLetter"/>
      <w:lvlText w:val="%5."/>
      <w:lvlJc w:val="left"/>
      <w:pPr>
        <w:ind w:left="3600" w:hanging="360"/>
      </w:pPr>
    </w:lvl>
    <w:lvl w:ilvl="5" w:tplc="DF16DC20">
      <w:start w:val="1"/>
      <w:numFmt w:val="lowerRoman"/>
      <w:lvlText w:val="%6."/>
      <w:lvlJc w:val="right"/>
      <w:pPr>
        <w:ind w:left="4320" w:hanging="180"/>
      </w:pPr>
    </w:lvl>
    <w:lvl w:ilvl="6" w:tplc="454CF20E">
      <w:start w:val="1"/>
      <w:numFmt w:val="decimal"/>
      <w:lvlText w:val="%7."/>
      <w:lvlJc w:val="left"/>
      <w:pPr>
        <w:ind w:left="5040" w:hanging="360"/>
      </w:pPr>
    </w:lvl>
    <w:lvl w:ilvl="7" w:tplc="9EF6C8CC">
      <w:start w:val="1"/>
      <w:numFmt w:val="lowerLetter"/>
      <w:lvlText w:val="%8."/>
      <w:lvlJc w:val="left"/>
      <w:pPr>
        <w:ind w:left="5760" w:hanging="360"/>
      </w:pPr>
    </w:lvl>
    <w:lvl w:ilvl="8" w:tplc="DC98561E">
      <w:start w:val="1"/>
      <w:numFmt w:val="lowerRoman"/>
      <w:lvlText w:val="%9."/>
      <w:lvlJc w:val="right"/>
      <w:pPr>
        <w:ind w:left="6480" w:hanging="180"/>
      </w:pPr>
    </w:lvl>
  </w:abstractNum>
  <w:abstractNum w:abstractNumId="13" w15:restartNumberingAfterBreak="0">
    <w:nsid w:val="799E1B1F"/>
    <w:multiLevelType w:val="hybridMultilevel"/>
    <w:tmpl w:val="44D4F7AC"/>
    <w:lvl w:ilvl="0" w:tplc="0C7411CC">
      <w:start w:val="15"/>
      <w:numFmt w:val="decimal"/>
      <w:lvlText w:val="%1."/>
      <w:lvlJc w:val="left"/>
      <w:pPr>
        <w:ind w:left="720" w:hanging="360"/>
      </w:pPr>
      <w:rPr>
        <w:rFonts w:ascii="Aptos" w:hAnsi="Aptos" w:hint="default"/>
      </w:rPr>
    </w:lvl>
    <w:lvl w:ilvl="1" w:tplc="FBD6EBB6">
      <w:start w:val="1"/>
      <w:numFmt w:val="lowerLetter"/>
      <w:lvlText w:val="%2."/>
      <w:lvlJc w:val="left"/>
      <w:pPr>
        <w:ind w:left="1440" w:hanging="360"/>
      </w:pPr>
    </w:lvl>
    <w:lvl w:ilvl="2" w:tplc="4B964976">
      <w:start w:val="1"/>
      <w:numFmt w:val="lowerRoman"/>
      <w:lvlText w:val="%3."/>
      <w:lvlJc w:val="right"/>
      <w:pPr>
        <w:ind w:left="2160" w:hanging="180"/>
      </w:pPr>
    </w:lvl>
    <w:lvl w:ilvl="3" w:tplc="84E25F24">
      <w:start w:val="1"/>
      <w:numFmt w:val="decimal"/>
      <w:lvlText w:val="%4."/>
      <w:lvlJc w:val="left"/>
      <w:pPr>
        <w:ind w:left="2880" w:hanging="360"/>
      </w:pPr>
    </w:lvl>
    <w:lvl w:ilvl="4" w:tplc="42DEBAAE">
      <w:start w:val="1"/>
      <w:numFmt w:val="lowerLetter"/>
      <w:lvlText w:val="%5."/>
      <w:lvlJc w:val="left"/>
      <w:pPr>
        <w:ind w:left="3600" w:hanging="360"/>
      </w:pPr>
    </w:lvl>
    <w:lvl w:ilvl="5" w:tplc="4600D07E">
      <w:start w:val="1"/>
      <w:numFmt w:val="lowerRoman"/>
      <w:lvlText w:val="%6."/>
      <w:lvlJc w:val="right"/>
      <w:pPr>
        <w:ind w:left="4320" w:hanging="180"/>
      </w:pPr>
    </w:lvl>
    <w:lvl w:ilvl="6" w:tplc="31BEC1A0">
      <w:start w:val="1"/>
      <w:numFmt w:val="decimal"/>
      <w:lvlText w:val="%7."/>
      <w:lvlJc w:val="left"/>
      <w:pPr>
        <w:ind w:left="5040" w:hanging="360"/>
      </w:pPr>
    </w:lvl>
    <w:lvl w:ilvl="7" w:tplc="C2FAADE8">
      <w:start w:val="1"/>
      <w:numFmt w:val="lowerLetter"/>
      <w:lvlText w:val="%8."/>
      <w:lvlJc w:val="left"/>
      <w:pPr>
        <w:ind w:left="5760" w:hanging="360"/>
      </w:pPr>
    </w:lvl>
    <w:lvl w:ilvl="8" w:tplc="3344242E">
      <w:start w:val="1"/>
      <w:numFmt w:val="lowerRoman"/>
      <w:lvlText w:val="%9."/>
      <w:lvlJc w:val="right"/>
      <w:pPr>
        <w:ind w:left="6480" w:hanging="180"/>
      </w:pPr>
    </w:lvl>
  </w:abstractNum>
  <w:abstractNum w:abstractNumId="14" w15:restartNumberingAfterBreak="0">
    <w:nsid w:val="7B27D585"/>
    <w:multiLevelType w:val="hybridMultilevel"/>
    <w:tmpl w:val="62C215F0"/>
    <w:lvl w:ilvl="0" w:tplc="DE10C38A">
      <w:start w:val="23"/>
      <w:numFmt w:val="decimal"/>
      <w:lvlText w:val="%1."/>
      <w:lvlJc w:val="left"/>
      <w:pPr>
        <w:ind w:left="720" w:hanging="360"/>
      </w:pPr>
      <w:rPr>
        <w:rFonts w:ascii="Aptos" w:hAnsi="Aptos" w:hint="default"/>
      </w:rPr>
    </w:lvl>
    <w:lvl w:ilvl="1" w:tplc="1466FE0C">
      <w:start w:val="1"/>
      <w:numFmt w:val="lowerLetter"/>
      <w:lvlText w:val="%2."/>
      <w:lvlJc w:val="left"/>
      <w:pPr>
        <w:ind w:left="1440" w:hanging="360"/>
      </w:pPr>
    </w:lvl>
    <w:lvl w:ilvl="2" w:tplc="BBCC0AE0">
      <w:start w:val="1"/>
      <w:numFmt w:val="lowerRoman"/>
      <w:lvlText w:val="%3."/>
      <w:lvlJc w:val="right"/>
      <w:pPr>
        <w:ind w:left="2160" w:hanging="180"/>
      </w:pPr>
    </w:lvl>
    <w:lvl w:ilvl="3" w:tplc="98708CE8">
      <w:start w:val="1"/>
      <w:numFmt w:val="decimal"/>
      <w:lvlText w:val="%4."/>
      <w:lvlJc w:val="left"/>
      <w:pPr>
        <w:ind w:left="2880" w:hanging="360"/>
      </w:pPr>
    </w:lvl>
    <w:lvl w:ilvl="4" w:tplc="03DA40B0">
      <w:start w:val="1"/>
      <w:numFmt w:val="lowerLetter"/>
      <w:lvlText w:val="%5."/>
      <w:lvlJc w:val="left"/>
      <w:pPr>
        <w:ind w:left="3600" w:hanging="360"/>
      </w:pPr>
    </w:lvl>
    <w:lvl w:ilvl="5" w:tplc="EE527BAE">
      <w:start w:val="1"/>
      <w:numFmt w:val="lowerRoman"/>
      <w:lvlText w:val="%6."/>
      <w:lvlJc w:val="right"/>
      <w:pPr>
        <w:ind w:left="4320" w:hanging="180"/>
      </w:pPr>
    </w:lvl>
    <w:lvl w:ilvl="6" w:tplc="2C10DD4C">
      <w:start w:val="1"/>
      <w:numFmt w:val="decimal"/>
      <w:lvlText w:val="%7."/>
      <w:lvlJc w:val="left"/>
      <w:pPr>
        <w:ind w:left="5040" w:hanging="360"/>
      </w:pPr>
    </w:lvl>
    <w:lvl w:ilvl="7" w:tplc="33F48EA0">
      <w:start w:val="1"/>
      <w:numFmt w:val="lowerLetter"/>
      <w:lvlText w:val="%8."/>
      <w:lvlJc w:val="left"/>
      <w:pPr>
        <w:ind w:left="5760" w:hanging="360"/>
      </w:pPr>
    </w:lvl>
    <w:lvl w:ilvl="8" w:tplc="284AE95E">
      <w:start w:val="1"/>
      <w:numFmt w:val="lowerRoman"/>
      <w:lvlText w:val="%9."/>
      <w:lvlJc w:val="right"/>
      <w:pPr>
        <w:ind w:left="6480" w:hanging="180"/>
      </w:pPr>
    </w:lvl>
  </w:abstractNum>
  <w:abstractNum w:abstractNumId="15" w15:restartNumberingAfterBreak="0">
    <w:nsid w:val="7DDAD47D"/>
    <w:multiLevelType w:val="hybridMultilevel"/>
    <w:tmpl w:val="850A786E"/>
    <w:lvl w:ilvl="0" w:tplc="79A8C22C">
      <w:start w:val="17"/>
      <w:numFmt w:val="decimal"/>
      <w:lvlText w:val="%1."/>
      <w:lvlJc w:val="left"/>
      <w:pPr>
        <w:ind w:left="720" w:hanging="360"/>
      </w:pPr>
      <w:rPr>
        <w:rFonts w:ascii="Aptos" w:hAnsi="Aptos" w:hint="default"/>
      </w:rPr>
    </w:lvl>
    <w:lvl w:ilvl="1" w:tplc="AECC6724">
      <w:start w:val="1"/>
      <w:numFmt w:val="lowerLetter"/>
      <w:lvlText w:val="%2."/>
      <w:lvlJc w:val="left"/>
      <w:pPr>
        <w:ind w:left="1440" w:hanging="360"/>
      </w:pPr>
    </w:lvl>
    <w:lvl w:ilvl="2" w:tplc="638AFB6A">
      <w:start w:val="1"/>
      <w:numFmt w:val="lowerRoman"/>
      <w:lvlText w:val="%3."/>
      <w:lvlJc w:val="right"/>
      <w:pPr>
        <w:ind w:left="2160" w:hanging="180"/>
      </w:pPr>
    </w:lvl>
    <w:lvl w:ilvl="3" w:tplc="C3E0E6CA">
      <w:start w:val="1"/>
      <w:numFmt w:val="decimal"/>
      <w:lvlText w:val="%4."/>
      <w:lvlJc w:val="left"/>
      <w:pPr>
        <w:ind w:left="2880" w:hanging="360"/>
      </w:pPr>
    </w:lvl>
    <w:lvl w:ilvl="4" w:tplc="77325576">
      <w:start w:val="1"/>
      <w:numFmt w:val="lowerLetter"/>
      <w:lvlText w:val="%5."/>
      <w:lvlJc w:val="left"/>
      <w:pPr>
        <w:ind w:left="3600" w:hanging="360"/>
      </w:pPr>
    </w:lvl>
    <w:lvl w:ilvl="5" w:tplc="025E06FA">
      <w:start w:val="1"/>
      <w:numFmt w:val="lowerRoman"/>
      <w:lvlText w:val="%6."/>
      <w:lvlJc w:val="right"/>
      <w:pPr>
        <w:ind w:left="4320" w:hanging="180"/>
      </w:pPr>
    </w:lvl>
    <w:lvl w:ilvl="6" w:tplc="DEE21A92">
      <w:start w:val="1"/>
      <w:numFmt w:val="decimal"/>
      <w:lvlText w:val="%7."/>
      <w:lvlJc w:val="left"/>
      <w:pPr>
        <w:ind w:left="5040" w:hanging="360"/>
      </w:pPr>
    </w:lvl>
    <w:lvl w:ilvl="7" w:tplc="9F0633C8">
      <w:start w:val="1"/>
      <w:numFmt w:val="lowerLetter"/>
      <w:lvlText w:val="%8."/>
      <w:lvlJc w:val="left"/>
      <w:pPr>
        <w:ind w:left="5760" w:hanging="360"/>
      </w:pPr>
    </w:lvl>
    <w:lvl w:ilvl="8" w:tplc="FE8E5BF4">
      <w:start w:val="1"/>
      <w:numFmt w:val="lowerRoman"/>
      <w:lvlText w:val="%9."/>
      <w:lvlJc w:val="right"/>
      <w:pPr>
        <w:ind w:left="6480" w:hanging="180"/>
      </w:pPr>
    </w:lvl>
  </w:abstractNum>
  <w:num w:numId="1" w16cid:durableId="1011369329">
    <w:abstractNumId w:val="14"/>
  </w:num>
  <w:num w:numId="2" w16cid:durableId="1235818241">
    <w:abstractNumId w:val="8"/>
  </w:num>
  <w:num w:numId="3" w16cid:durableId="1356661123">
    <w:abstractNumId w:val="1"/>
  </w:num>
  <w:num w:numId="4" w16cid:durableId="1368064331">
    <w:abstractNumId w:val="13"/>
  </w:num>
  <w:num w:numId="5" w16cid:durableId="1396587523">
    <w:abstractNumId w:val="3"/>
  </w:num>
  <w:num w:numId="6" w16cid:durableId="1408071835">
    <w:abstractNumId w:val="11"/>
  </w:num>
  <w:num w:numId="7" w16cid:durableId="1607693148">
    <w:abstractNumId w:val="6"/>
  </w:num>
  <w:num w:numId="8" w16cid:durableId="1691490937">
    <w:abstractNumId w:val="9"/>
  </w:num>
  <w:num w:numId="9" w16cid:durableId="1852446483">
    <w:abstractNumId w:val="0"/>
  </w:num>
  <w:num w:numId="10" w16cid:durableId="2082366098">
    <w:abstractNumId w:val="7"/>
  </w:num>
  <w:num w:numId="11" w16cid:durableId="306478757">
    <w:abstractNumId w:val="12"/>
  </w:num>
  <w:num w:numId="12" w16cid:durableId="314187857">
    <w:abstractNumId w:val="15"/>
  </w:num>
  <w:num w:numId="13" w16cid:durableId="342822294">
    <w:abstractNumId w:val="2"/>
  </w:num>
  <w:num w:numId="14" w16cid:durableId="390353834">
    <w:abstractNumId w:val="4"/>
  </w:num>
  <w:num w:numId="15" w16cid:durableId="651063324">
    <w:abstractNumId w:val="5"/>
  </w:num>
  <w:num w:numId="16" w16cid:durableId="755054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8595E3"/>
    <w:rsid w:val="0004603B"/>
    <w:rsid w:val="00047A37"/>
    <w:rsid w:val="00061295"/>
    <w:rsid w:val="000E3EA0"/>
    <w:rsid w:val="000F44CF"/>
    <w:rsid w:val="0024748C"/>
    <w:rsid w:val="00251A0D"/>
    <w:rsid w:val="00260476"/>
    <w:rsid w:val="00291E0E"/>
    <w:rsid w:val="002A0161"/>
    <w:rsid w:val="002C798D"/>
    <w:rsid w:val="002E75D4"/>
    <w:rsid w:val="00316AB6"/>
    <w:rsid w:val="003414FA"/>
    <w:rsid w:val="003562E1"/>
    <w:rsid w:val="003743A0"/>
    <w:rsid w:val="004064CE"/>
    <w:rsid w:val="00440453"/>
    <w:rsid w:val="00482F4D"/>
    <w:rsid w:val="005954F2"/>
    <w:rsid w:val="0059667B"/>
    <w:rsid w:val="005A0465"/>
    <w:rsid w:val="00634604"/>
    <w:rsid w:val="006C3CA8"/>
    <w:rsid w:val="006F7B94"/>
    <w:rsid w:val="00705BC9"/>
    <w:rsid w:val="0071505D"/>
    <w:rsid w:val="00770793"/>
    <w:rsid w:val="007A3FE9"/>
    <w:rsid w:val="007C6C51"/>
    <w:rsid w:val="007E5FA3"/>
    <w:rsid w:val="00807D35"/>
    <w:rsid w:val="00836EF8"/>
    <w:rsid w:val="0085787B"/>
    <w:rsid w:val="00895A0F"/>
    <w:rsid w:val="008C1C1D"/>
    <w:rsid w:val="0095059C"/>
    <w:rsid w:val="00973C9A"/>
    <w:rsid w:val="00993FC6"/>
    <w:rsid w:val="009A039E"/>
    <w:rsid w:val="009D121B"/>
    <w:rsid w:val="009E54B9"/>
    <w:rsid w:val="00A26EB7"/>
    <w:rsid w:val="00A36F75"/>
    <w:rsid w:val="00AC476F"/>
    <w:rsid w:val="00AD1720"/>
    <w:rsid w:val="00AE0112"/>
    <w:rsid w:val="00B07CE7"/>
    <w:rsid w:val="00B927FC"/>
    <w:rsid w:val="00BC0338"/>
    <w:rsid w:val="00BD2C2D"/>
    <w:rsid w:val="00C11F2A"/>
    <w:rsid w:val="00C17D2E"/>
    <w:rsid w:val="00C732B1"/>
    <w:rsid w:val="00C8254D"/>
    <w:rsid w:val="00CC067A"/>
    <w:rsid w:val="00CC41FF"/>
    <w:rsid w:val="00D26273"/>
    <w:rsid w:val="00D2E594"/>
    <w:rsid w:val="00D31F55"/>
    <w:rsid w:val="00D53A41"/>
    <w:rsid w:val="00D802A5"/>
    <w:rsid w:val="00D936D8"/>
    <w:rsid w:val="00DA5AEC"/>
    <w:rsid w:val="00DC52A8"/>
    <w:rsid w:val="00DF0D9E"/>
    <w:rsid w:val="00E05E93"/>
    <w:rsid w:val="00E16071"/>
    <w:rsid w:val="00E41F56"/>
    <w:rsid w:val="00E52F03"/>
    <w:rsid w:val="00E66214"/>
    <w:rsid w:val="00E90C9A"/>
    <w:rsid w:val="00EC514D"/>
    <w:rsid w:val="00ED3248"/>
    <w:rsid w:val="00F238E2"/>
    <w:rsid w:val="00F41D77"/>
    <w:rsid w:val="00F44F87"/>
    <w:rsid w:val="00F95810"/>
    <w:rsid w:val="00FF2B6C"/>
    <w:rsid w:val="00FF4A38"/>
    <w:rsid w:val="014069B4"/>
    <w:rsid w:val="015C01FC"/>
    <w:rsid w:val="02A7A68D"/>
    <w:rsid w:val="054732A9"/>
    <w:rsid w:val="0676D472"/>
    <w:rsid w:val="06B3618B"/>
    <w:rsid w:val="0702EB2D"/>
    <w:rsid w:val="07AF24BE"/>
    <w:rsid w:val="086C3E3F"/>
    <w:rsid w:val="08B7785E"/>
    <w:rsid w:val="0ADFFFD5"/>
    <w:rsid w:val="0DA6E70D"/>
    <w:rsid w:val="0DD772CD"/>
    <w:rsid w:val="103AE732"/>
    <w:rsid w:val="1169B44F"/>
    <w:rsid w:val="11829FE2"/>
    <w:rsid w:val="1252439B"/>
    <w:rsid w:val="1269C490"/>
    <w:rsid w:val="13B82FB9"/>
    <w:rsid w:val="13F63B5A"/>
    <w:rsid w:val="1412B775"/>
    <w:rsid w:val="14B6DC3B"/>
    <w:rsid w:val="184AE134"/>
    <w:rsid w:val="1AF76591"/>
    <w:rsid w:val="1B31315F"/>
    <w:rsid w:val="1D201F99"/>
    <w:rsid w:val="1E967A03"/>
    <w:rsid w:val="1F1E3BD7"/>
    <w:rsid w:val="20824EC3"/>
    <w:rsid w:val="20C6447C"/>
    <w:rsid w:val="20F42E09"/>
    <w:rsid w:val="21E98548"/>
    <w:rsid w:val="2299B095"/>
    <w:rsid w:val="22D42B50"/>
    <w:rsid w:val="242A5F44"/>
    <w:rsid w:val="24D358CC"/>
    <w:rsid w:val="24FC6E96"/>
    <w:rsid w:val="281543C2"/>
    <w:rsid w:val="2914954E"/>
    <w:rsid w:val="2BDB3B8F"/>
    <w:rsid w:val="2C179FED"/>
    <w:rsid w:val="2CF97EB2"/>
    <w:rsid w:val="2EE0D2F3"/>
    <w:rsid w:val="2FAF6A58"/>
    <w:rsid w:val="3142B8A7"/>
    <w:rsid w:val="33613E82"/>
    <w:rsid w:val="338008B9"/>
    <w:rsid w:val="340FF6D5"/>
    <w:rsid w:val="34255C67"/>
    <w:rsid w:val="356A365B"/>
    <w:rsid w:val="36ADED9F"/>
    <w:rsid w:val="387257BE"/>
    <w:rsid w:val="3877E56F"/>
    <w:rsid w:val="387CFEFA"/>
    <w:rsid w:val="388CC71C"/>
    <w:rsid w:val="3891953D"/>
    <w:rsid w:val="39628DBA"/>
    <w:rsid w:val="3AA0C32A"/>
    <w:rsid w:val="3BF3934C"/>
    <w:rsid w:val="3E808BEB"/>
    <w:rsid w:val="3FDEB8C4"/>
    <w:rsid w:val="4136EE86"/>
    <w:rsid w:val="42022302"/>
    <w:rsid w:val="437F5C18"/>
    <w:rsid w:val="43F50189"/>
    <w:rsid w:val="456DACAF"/>
    <w:rsid w:val="45844C6C"/>
    <w:rsid w:val="45EA7B94"/>
    <w:rsid w:val="46629F6B"/>
    <w:rsid w:val="48F3D6D1"/>
    <w:rsid w:val="4971DC36"/>
    <w:rsid w:val="4CE1BBB1"/>
    <w:rsid w:val="4E21FADA"/>
    <w:rsid w:val="4F6B69DB"/>
    <w:rsid w:val="4F731759"/>
    <w:rsid w:val="4FB8D693"/>
    <w:rsid w:val="4FDE0AB1"/>
    <w:rsid w:val="505ADF23"/>
    <w:rsid w:val="5134FEEE"/>
    <w:rsid w:val="51814769"/>
    <w:rsid w:val="51828CEA"/>
    <w:rsid w:val="51F5437A"/>
    <w:rsid w:val="52BE11BC"/>
    <w:rsid w:val="53004EC5"/>
    <w:rsid w:val="5379EA9C"/>
    <w:rsid w:val="54F2E0C0"/>
    <w:rsid w:val="551CD67D"/>
    <w:rsid w:val="55E45547"/>
    <w:rsid w:val="56D3E08A"/>
    <w:rsid w:val="57842D4D"/>
    <w:rsid w:val="582284F0"/>
    <w:rsid w:val="5ADBB059"/>
    <w:rsid w:val="5C462107"/>
    <w:rsid w:val="6120867C"/>
    <w:rsid w:val="616D9BF6"/>
    <w:rsid w:val="623D43F3"/>
    <w:rsid w:val="62EA81E7"/>
    <w:rsid w:val="64549959"/>
    <w:rsid w:val="6810BA73"/>
    <w:rsid w:val="6C365CF5"/>
    <w:rsid w:val="6D6B9734"/>
    <w:rsid w:val="6D7F93B7"/>
    <w:rsid w:val="6E539D7E"/>
    <w:rsid w:val="6F32F267"/>
    <w:rsid w:val="6F581C32"/>
    <w:rsid w:val="6FCAA5BF"/>
    <w:rsid w:val="7099DFC0"/>
    <w:rsid w:val="70F658DA"/>
    <w:rsid w:val="710170BF"/>
    <w:rsid w:val="718595E3"/>
    <w:rsid w:val="7306FA89"/>
    <w:rsid w:val="738A33D2"/>
    <w:rsid w:val="75995712"/>
    <w:rsid w:val="767A3D33"/>
    <w:rsid w:val="76C469BE"/>
    <w:rsid w:val="77828F98"/>
    <w:rsid w:val="78BE54CF"/>
    <w:rsid w:val="79372C0B"/>
    <w:rsid w:val="798C4B19"/>
    <w:rsid w:val="7A165E89"/>
    <w:rsid w:val="7A1A0EF7"/>
    <w:rsid w:val="7B9A7498"/>
    <w:rsid w:val="7CBB6512"/>
    <w:rsid w:val="7D3E1A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95E3"/>
  <w15:chartTrackingRefBased/>
  <w15:docId w15:val="{0E4BCF41-3686-4820-B9E8-32A3E5FB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676D472"/>
    <w:rPr>
      <w:color w:val="467886"/>
      <w:u w:val="single"/>
    </w:rPr>
  </w:style>
  <w:style w:type="paragraph" w:styleId="ListParagraph">
    <w:name w:val="List Paragraph"/>
    <w:basedOn w:val="Normal"/>
    <w:uiPriority w:val="34"/>
    <w:qFormat/>
    <w:rsid w:val="582284F0"/>
    <w:pPr>
      <w:ind w:left="720"/>
      <w:contextualSpacing/>
    </w:pPr>
  </w:style>
  <w:style w:type="paragraph" w:styleId="Revision">
    <w:name w:val="Revision"/>
    <w:hidden/>
    <w:uiPriority w:val="99"/>
    <w:semiHidden/>
    <w:rsid w:val="00EC514D"/>
    <w:pPr>
      <w:spacing w:after="0" w:line="240" w:lineRule="auto"/>
    </w:pPr>
  </w:style>
  <w:style w:type="paragraph" w:styleId="Header">
    <w:name w:val="header"/>
    <w:basedOn w:val="Normal"/>
    <w:uiPriority w:val="99"/>
    <w:unhideWhenUsed/>
    <w:rsid w:val="582284F0"/>
    <w:pPr>
      <w:tabs>
        <w:tab w:val="center" w:pos="4680"/>
        <w:tab w:val="right" w:pos="9360"/>
      </w:tabs>
      <w:spacing w:after="0" w:line="240" w:lineRule="auto"/>
    </w:pPr>
  </w:style>
  <w:style w:type="paragraph" w:styleId="Footer">
    <w:name w:val="footer"/>
    <w:basedOn w:val="Normal"/>
    <w:link w:val="FooterChar"/>
    <w:uiPriority w:val="99"/>
    <w:unhideWhenUsed/>
    <w:rsid w:val="582284F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4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late-payments-tackling-poor-payment-practices/late-payments-consultation-tackling-poor-payment-practic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ptpayment@businessandtrad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consultations/late-payments-tackling-poor-payment-practices/late-payments-consultation-tackling-poor-payment-practices" TargetMode="External"/><Relationship Id="rId4" Type="http://schemas.openxmlformats.org/officeDocument/2006/relationships/settings" Target="settings.xml"/><Relationship Id="rId9" Type="http://schemas.openxmlformats.org/officeDocument/2006/relationships/hyperlink" Target="https://ditresearch.eu.qualtrics.com/jfe/form/SV_0v37vzvBpfM5Ex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F4E0E-0C9C-4D49-98EA-CBEC759D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Links>
    <vt:vector size="36" baseType="variant">
      <vt:variant>
        <vt:i4>917619</vt:i4>
      </vt:variant>
      <vt:variant>
        <vt:i4>15</vt:i4>
      </vt:variant>
      <vt:variant>
        <vt:i4>0</vt:i4>
      </vt:variant>
      <vt:variant>
        <vt:i4>5</vt:i4>
      </vt:variant>
      <vt:variant>
        <vt:lpwstr>mailto:promptpayment@businessandtrade.gov.uk</vt:lpwstr>
      </vt:variant>
      <vt:variant>
        <vt:lpwstr/>
      </vt:variant>
      <vt:variant>
        <vt:i4>1966194</vt:i4>
      </vt:variant>
      <vt:variant>
        <vt:i4>12</vt:i4>
      </vt:variant>
      <vt:variant>
        <vt:i4>0</vt:i4>
      </vt:variant>
      <vt:variant>
        <vt:i4>5</vt:i4>
      </vt:variant>
      <vt:variant>
        <vt:lpwstr>https://ditresearch.eu.qualtrics.com/jfe/form/SV_0v37vzvBpfM5Exw</vt:lpwstr>
      </vt:variant>
      <vt:variant>
        <vt:lpwstr/>
      </vt:variant>
      <vt:variant>
        <vt:i4>65548</vt:i4>
      </vt:variant>
      <vt:variant>
        <vt:i4>9</vt:i4>
      </vt:variant>
      <vt:variant>
        <vt:i4>0</vt:i4>
      </vt:variant>
      <vt:variant>
        <vt:i4>5</vt:i4>
      </vt:variant>
      <vt:variant>
        <vt:lpwstr>https://www.gov.uk/government/consultations/late-payments-tackling-poor-payment-practices/late-payments-consultation-tackling-poor-payment-practices</vt:lpwstr>
      </vt:variant>
      <vt:variant>
        <vt:lpwstr/>
      </vt:variant>
      <vt:variant>
        <vt:i4>8257565</vt:i4>
      </vt:variant>
      <vt:variant>
        <vt:i4>6</vt:i4>
      </vt:variant>
      <vt:variant>
        <vt:i4>0</vt:i4>
      </vt:variant>
      <vt:variant>
        <vt:i4>5</vt:i4>
      </vt:variant>
      <vt:variant>
        <vt:lpwstr>mailto:policy@nfrc.co.uk</vt:lpwstr>
      </vt:variant>
      <vt:variant>
        <vt:lpwstr/>
      </vt:variant>
      <vt:variant>
        <vt:i4>1966194</vt:i4>
      </vt:variant>
      <vt:variant>
        <vt:i4>3</vt:i4>
      </vt:variant>
      <vt:variant>
        <vt:i4>0</vt:i4>
      </vt:variant>
      <vt:variant>
        <vt:i4>5</vt:i4>
      </vt:variant>
      <vt:variant>
        <vt:lpwstr>https://ditresearch.eu.qualtrics.com/jfe/form/SV_0v37vzvBpfM5Exw</vt:lpwstr>
      </vt:variant>
      <vt:variant>
        <vt:lpwstr/>
      </vt:variant>
      <vt:variant>
        <vt:i4>65548</vt:i4>
      </vt:variant>
      <vt:variant>
        <vt:i4>0</vt:i4>
      </vt:variant>
      <vt:variant>
        <vt:i4>0</vt:i4>
      </vt:variant>
      <vt:variant>
        <vt:i4>5</vt:i4>
      </vt:variant>
      <vt:variant>
        <vt:lpwstr>https://www.gov.uk/government/consultations/late-payments-tackling-poor-payment-practices/late-payments-consultation-tackling-poor-payment-practices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Gibson</dc:creator>
  <cp:keywords/>
  <dc:description/>
  <cp:lastModifiedBy>Gray Gibson</cp:lastModifiedBy>
  <cp:revision>6</cp:revision>
  <dcterms:created xsi:type="dcterms:W3CDTF">2025-09-22T15:17:00Z</dcterms:created>
  <dcterms:modified xsi:type="dcterms:W3CDTF">2025-09-24T15:10:00Z</dcterms:modified>
</cp:coreProperties>
</file>